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51" w:rsidRPr="00655451" w:rsidRDefault="00655451" w:rsidP="006554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655451">
        <w:rPr>
          <w:rFonts w:ascii="Times New Roman" w:eastAsia="Times New Roman" w:hAnsi="Times New Roman" w:cs="Times New Roman"/>
          <w:b/>
          <w:bCs/>
          <w:lang w:eastAsia="ru-RU"/>
        </w:rPr>
        <w:t>Статья 1151. Наследование выморочного имущества</w:t>
      </w:r>
    </w:p>
    <w:p w:rsidR="00655451" w:rsidRPr="00655451" w:rsidRDefault="00655451" w:rsidP="00655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Гражданский кодекс РФ" w:history="1">
        <w:r w:rsidRPr="0065545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[Гражданский кодекс РФ]</w:t>
        </w:r>
      </w:hyperlink>
      <w:r w:rsidRPr="0065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следование по закону" w:history="1">
        <w:r w:rsidRPr="0065545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63]</w:t>
        </w:r>
      </w:hyperlink>
      <w:r w:rsidRPr="00655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следование выморочного имущества" w:history="1">
        <w:r w:rsidRPr="00655451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1151]</w:t>
        </w:r>
      </w:hyperlink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1.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 (статья 1117),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 (статья 1158), имущество умершего считается выморочным.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2. В порядке наследования по закону в собственность городского или сельского поселения, муниципального района (в части межселенных территорий) либо городского округа переходит следующее выморочное имущество, находящееся на соответствующей территории: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жилое помещение;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земельный участок, а также расположенные на нем здания, сооружения, иные объекты недвижимого имущества;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Если указанные объекты расположены в субъекте Российской Федерации - городе федерального значения Москве, Санкт-Петербурге или Севастополе, они переходят в собственность такого субъекта Российской Федерации.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Жилое помещение, указанное в абзаце втором настоящего пункта, включается в соответствующий жилищный фонд социального использования.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Иное выморочное имущество переходит в порядке наследования по закону в собственность Российской Федерации.</w:t>
      </w:r>
    </w:p>
    <w:p w:rsidR="00655451" w:rsidRPr="00655451" w:rsidRDefault="00655451" w:rsidP="00655451">
      <w:pPr>
        <w:shd w:val="clear" w:color="auto" w:fill="FFFFFF"/>
        <w:spacing w:before="240" w:after="240" w:line="268" w:lineRule="atLeast"/>
        <w:rPr>
          <w:rFonts w:ascii="Arial" w:eastAsia="Times New Roman" w:hAnsi="Arial" w:cs="Arial"/>
          <w:color w:val="000000"/>
          <w:lang w:eastAsia="ru-RU"/>
        </w:rPr>
      </w:pPr>
      <w:r w:rsidRPr="00655451">
        <w:rPr>
          <w:rFonts w:ascii="Arial" w:eastAsia="Times New Roman" w:hAnsi="Arial" w:cs="Arial"/>
          <w:color w:val="000000"/>
          <w:lang w:eastAsia="ru-RU"/>
        </w:rPr>
        <w:t>3. Порядок наследования и учета выморочного имущества, переходящего в порядке наследования по закону в собственность Российской Федерации, а также порядок передачи его в собственность субъектов Российской Федерации или в собственность муниципальных образований определяется законом.</w:t>
      </w:r>
    </w:p>
    <w:p w:rsidR="003936A4" w:rsidRDefault="00655451"/>
    <w:sectPr w:rsidR="003936A4" w:rsidSect="00DD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5451"/>
    <w:rsid w:val="0014727D"/>
    <w:rsid w:val="00655451"/>
    <w:rsid w:val="00DD52B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B0"/>
  </w:style>
  <w:style w:type="paragraph" w:styleId="2">
    <w:name w:val="heading 2"/>
    <w:basedOn w:val="a"/>
    <w:link w:val="20"/>
    <w:uiPriority w:val="9"/>
    <w:qFormat/>
    <w:rsid w:val="00655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54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5451"/>
  </w:style>
  <w:style w:type="paragraph" w:styleId="a4">
    <w:name w:val="Normal (Web)"/>
    <w:basedOn w:val="a"/>
    <w:uiPriority w:val="99"/>
    <w:semiHidden/>
    <w:unhideWhenUsed/>
    <w:rsid w:val="0065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51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>Melkosoft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2017-02-23T07:39:00Z</dcterms:created>
  <dcterms:modified xsi:type="dcterms:W3CDTF">2017-02-23T07:39:00Z</dcterms:modified>
</cp:coreProperties>
</file>