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05" w:rsidRDefault="00CB7805" w:rsidP="00CB7805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346.12. Налогоплательщики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Налогоплательщиками признаются организации и индивидуальные предприниматели, перешедшие на упрощенную систему налогообложения и применяющие ее в порядке, установленном настоящей главой.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Организация имеет право перейти на упрощенную систему налогообложения, если по итогам девяти месяцев того года, в котором организация подает уведомление о переходе на упрощенную систему налогообложения, доходы, определяемые в соответствии со статьей 248 настоящего Кодекса, не превысили 45 млн. рублей.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Указанная в абзаце первом настоящего пункта величина предельного размера доходов организации, ограничивающая право организации перейти на упрощенную систему налогообложения, подлежит индексации не позднее 31 декабря текущего года на коэффициент-дефлятор, установленный на следующий календарный год.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Установленное абзацем первым настоящего пункта ограничение по доходам не применяется в отношении организаций, сведения о которых внесены в единый государственный реестр юридических лиц на основании статьи 19 Федерального закона от 30 ноября 1994 года N 52-ФЗ "О введении в действие части первой Гражданского кодекса Российской Федерации", подающих уведомление о переходе на упрощенную систему налогообложения с 1 января 2015 года.</w:t>
      </w:r>
      <w:proofErr w:type="gramEnd"/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Утратил силу.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Не вправе применять упрощенную систему налогообложения: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организации, имеющие филиалы;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банки;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страховщики;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негосударственные пенсионные фонды;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инвестиционные фонды;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профессиональные участники рынка ценных бумаг;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ломбарды;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организации и индивидуальные предприниматели, занимающиеся производством подакцизных товаров, а также добычей и реализацией полезных ископаемых, за исключением общераспространенных полезных ископаемых;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организации, осуществляющие деятельность по организации и проведению азартных игр;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нотариусы, занимающиеся частной практикой, адвокаты, учредившие адвокатские кабинеты, а также иные формы адвокатских образований;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организации, являющиеся участниками соглашений о разделе продукции;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утратил силу;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организации и индивидуальные предприниматели, перешедшие на систему налогообложения для сельскохозяйственных товаропроизводителей (единый сельскохозяйственный налог) в соответствии с главой 26.1 настоящего Кодекса;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14) организации, в которых доля участия других организаций составляет более 25 процентов. Данное ограничение не распространяется: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на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на некоммерческие организации, в том числе организации потребительской кооперации, осуществляющие свою деятельность в соответствии с Законом Российской Федерации от 19 июня 1992 года N 3085-1 "О потребительской кооперации (потребительских обществах, их союзах) в Российской Федерации", а также на хозяйственные общества, единственными учредителями которых являются потребительские общества и их союзы, осуществляющие свою деятельность в соответствии с указанным Законом;</w:t>
      </w:r>
      <w:proofErr w:type="gramEnd"/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на учрежденные в соответствии с Федеральным законом от 23 августа 1996 года N 127-ФЗ "О науке и государственной научно-технической политике" бюджетными и автономными научными учреждениями хозяйственные общества и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), исключительные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права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которые принадлежат указанным научным учреждениям (в том числе совместно с другими лицами);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на учрежденные в соответствии с Федеральным законом от 29 декабря 2012 года N 273-ФЗ "Об образовании в Российской Федерации" образовательными организациями высшего образования, являющимися бюджетными и автономными учреждениями, хозяйственные общества и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секретов производства (ноу-хау), исключительные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права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которые принадлежат указанным образовательным организациям (в том числе совместно с другими лицами);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 организации и индивидуальные предприниматели, средняя численность работников которых за налоговый (отчетный) период, определяемая в порядке, устанавливаемом федеральным органом исполнительной власти, уполномоченным в области статистики, превышает 100 человек;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16) организации, у которых остаточная стоимость основных средств, определяемая в соответствии с законодательством Российской Федерации о бухгалтерском учете, превышает 100 млн. рублей.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целях настоящего подпункта учитываются основные средства, которые подлежат амортизации и признаются амортизируемым имуществом в соответствии с главой 25 настоящего Кодекса;</w:t>
      </w:r>
      <w:proofErr w:type="gramEnd"/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17) казенные и бюджетные учреждения;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18) иностранные организации;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19) организации и индивидуальные предприниматели, не уведомившие о переходе на упрощенную систему налогообложения в сроки, установленные пунктами 1 и 2 статьи 346.13 настоящего Кодекса;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микрофинансовые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организации;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21) частные агентства занятости, осуществляющие деятельность по предоставлению труда работников (персонала).</w:t>
      </w:r>
    </w:p>
    <w:p w:rsidR="00CB7805" w:rsidRDefault="00CB7805" w:rsidP="00CB78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Организации и индивидуальные предприниматели, перешедшие в соответствии с главой 26.3 настоящего Кодекса на уплату единого налога на вмененный доход для отдельных видов деятельности по одному или нескольким видам предпринимательской деятельности, вправе применять упрощенную систему налогообложения в отношении иных осуществляемых ими видов предпринимательской деятельности.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При этом ограничения по численности работников и стоимости основных средств, установленные настоящей главой, по отношению к таким организациям и индивидуальным предпринимателям определяются исходя из всех осуществляемых ими видов деятельности, а предельная величина доходов, установленная </w:t>
      </w:r>
      <w:r>
        <w:rPr>
          <w:rFonts w:ascii="Arial" w:hAnsi="Arial" w:cs="Arial"/>
          <w:color w:val="000000"/>
          <w:sz w:val="20"/>
          <w:szCs w:val="20"/>
        </w:rPr>
        <w:lastRenderedPageBreak/>
        <w:t>пунктом 2 настоящей статьи, определяется по тем видам деятельности, налогообложение которых осуществляется в соответствии с общим режимом налогообложения.</w:t>
      </w:r>
      <w:proofErr w:type="gramEnd"/>
    </w:p>
    <w:p w:rsidR="003936A4" w:rsidRPr="00CB7805" w:rsidRDefault="00CB7805" w:rsidP="00CB7805"/>
    <w:sectPr w:rsidR="003936A4" w:rsidRPr="00CB7805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96CEC"/>
    <w:rsid w:val="00121D09"/>
    <w:rsid w:val="001235E5"/>
    <w:rsid w:val="0014727D"/>
    <w:rsid w:val="001610C0"/>
    <w:rsid w:val="00166548"/>
    <w:rsid w:val="00193779"/>
    <w:rsid w:val="001D681E"/>
    <w:rsid w:val="001D7711"/>
    <w:rsid w:val="00304748"/>
    <w:rsid w:val="00317F6E"/>
    <w:rsid w:val="00355E10"/>
    <w:rsid w:val="00392B27"/>
    <w:rsid w:val="003F63F4"/>
    <w:rsid w:val="00421DFF"/>
    <w:rsid w:val="004A0248"/>
    <w:rsid w:val="004F09CF"/>
    <w:rsid w:val="005310C1"/>
    <w:rsid w:val="0056422D"/>
    <w:rsid w:val="0058191B"/>
    <w:rsid w:val="005C4B30"/>
    <w:rsid w:val="005F2713"/>
    <w:rsid w:val="006258C2"/>
    <w:rsid w:val="0063572F"/>
    <w:rsid w:val="00647071"/>
    <w:rsid w:val="007B75DE"/>
    <w:rsid w:val="007B7B5B"/>
    <w:rsid w:val="0086134B"/>
    <w:rsid w:val="0087242B"/>
    <w:rsid w:val="00933BA3"/>
    <w:rsid w:val="009E2125"/>
    <w:rsid w:val="009F1E5A"/>
    <w:rsid w:val="00A225C3"/>
    <w:rsid w:val="00A84738"/>
    <w:rsid w:val="00AF7164"/>
    <w:rsid w:val="00B276B1"/>
    <w:rsid w:val="00B57092"/>
    <w:rsid w:val="00C2228B"/>
    <w:rsid w:val="00C5793E"/>
    <w:rsid w:val="00C749FD"/>
    <w:rsid w:val="00CB7805"/>
    <w:rsid w:val="00D844CC"/>
    <w:rsid w:val="00DD7A48"/>
    <w:rsid w:val="00E16CAD"/>
    <w:rsid w:val="00E268AF"/>
    <w:rsid w:val="00E865A0"/>
    <w:rsid w:val="00EF6756"/>
    <w:rsid w:val="00F36010"/>
    <w:rsid w:val="00F9051C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948</Words>
  <Characters>5408</Characters>
  <Application>Microsoft Office Word</Application>
  <DocSecurity>0</DocSecurity>
  <Lines>45</Lines>
  <Paragraphs>12</Paragraphs>
  <ScaleCrop>false</ScaleCrop>
  <Company>Melkosoft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2016-10-09T18:20:00Z</dcterms:created>
  <dcterms:modified xsi:type="dcterms:W3CDTF">2016-11-08T14:49:00Z</dcterms:modified>
</cp:coreProperties>
</file>