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96" w:rsidRPr="00395896" w:rsidRDefault="00395896" w:rsidP="00395896">
      <w:pPr>
        <w:shd w:val="clear" w:color="auto" w:fill="FFFFFF"/>
        <w:spacing w:before="100" w:beforeAutospacing="1" w:after="100" w:afterAutospacing="1" w:line="240" w:lineRule="auto"/>
        <w:outlineLvl w:val="1"/>
        <w:rPr>
          <w:rFonts w:ascii="Arial" w:eastAsia="Times New Roman" w:hAnsi="Arial" w:cs="Arial"/>
          <w:color w:val="000000"/>
          <w:sz w:val="36"/>
          <w:szCs w:val="36"/>
          <w:lang w:eastAsia="ru-RU"/>
        </w:rPr>
      </w:pPr>
      <w:r w:rsidRPr="00395896">
        <w:rPr>
          <w:rFonts w:ascii="Arial" w:eastAsia="Times New Roman" w:hAnsi="Arial" w:cs="Arial"/>
          <w:color w:val="000000"/>
          <w:sz w:val="36"/>
          <w:szCs w:val="36"/>
          <w:lang w:eastAsia="ru-RU"/>
        </w:rPr>
        <w:t>Кредитование</w:t>
      </w:r>
    </w:p>
    <w:tbl>
      <w:tblPr>
        <w:tblW w:w="14700" w:type="dxa"/>
        <w:tblCellMar>
          <w:top w:w="15" w:type="dxa"/>
          <w:left w:w="15" w:type="dxa"/>
          <w:bottom w:w="15" w:type="dxa"/>
          <w:right w:w="15" w:type="dxa"/>
        </w:tblCellMar>
        <w:tblLook w:val="04A0"/>
      </w:tblPr>
      <w:tblGrid>
        <w:gridCol w:w="615"/>
        <w:gridCol w:w="9247"/>
        <w:gridCol w:w="4838"/>
      </w:tblGrid>
      <w:tr w:rsidR="00395896" w:rsidRPr="00395896" w:rsidTr="00395896">
        <w:tc>
          <w:tcPr>
            <w:tcW w:w="0" w:type="auto"/>
            <w:hideMark/>
          </w:tcPr>
          <w:p w:rsidR="00395896" w:rsidRPr="00395896" w:rsidRDefault="00395896" w:rsidP="00395896">
            <w:pPr>
              <w:spacing w:after="0" w:line="240" w:lineRule="auto"/>
              <w:rPr>
                <w:rFonts w:ascii="Times New Roman" w:eastAsia="Times New Roman" w:hAnsi="Times New Roman" w:cs="Times New Roman"/>
                <w:b/>
                <w:bCs/>
                <w:sz w:val="18"/>
                <w:szCs w:val="18"/>
                <w:lang w:eastAsia="ru-RU"/>
              </w:rPr>
            </w:pPr>
            <w:r w:rsidRPr="00395896">
              <w:rPr>
                <w:rFonts w:ascii="Times New Roman" w:eastAsia="Times New Roman" w:hAnsi="Times New Roman" w:cs="Times New Roman"/>
                <w:b/>
                <w:bCs/>
                <w:sz w:val="18"/>
                <w:szCs w:val="18"/>
                <w:lang w:eastAsia="ru-RU"/>
              </w:rPr>
              <w:t>№ п/п</w:t>
            </w:r>
          </w:p>
        </w:tc>
        <w:tc>
          <w:tcPr>
            <w:tcW w:w="0" w:type="auto"/>
            <w:hideMark/>
          </w:tcPr>
          <w:p w:rsidR="00395896" w:rsidRPr="00395896" w:rsidRDefault="00395896" w:rsidP="00395896">
            <w:pPr>
              <w:spacing w:after="0" w:line="240" w:lineRule="auto"/>
              <w:rPr>
                <w:rFonts w:ascii="Times New Roman" w:eastAsia="Times New Roman" w:hAnsi="Times New Roman" w:cs="Times New Roman"/>
                <w:b/>
                <w:bCs/>
                <w:sz w:val="18"/>
                <w:szCs w:val="18"/>
                <w:lang w:eastAsia="ru-RU"/>
              </w:rPr>
            </w:pPr>
            <w:r w:rsidRPr="00395896">
              <w:rPr>
                <w:rFonts w:ascii="Times New Roman" w:eastAsia="Times New Roman" w:hAnsi="Times New Roman" w:cs="Times New Roman"/>
                <w:b/>
                <w:bCs/>
                <w:sz w:val="18"/>
                <w:szCs w:val="18"/>
                <w:lang w:eastAsia="ru-RU"/>
              </w:rPr>
              <w:t>Наименование услуг</w:t>
            </w:r>
          </w:p>
        </w:tc>
        <w:tc>
          <w:tcPr>
            <w:tcW w:w="0" w:type="auto"/>
            <w:hideMark/>
          </w:tcPr>
          <w:p w:rsidR="00395896" w:rsidRPr="00395896" w:rsidRDefault="00395896" w:rsidP="00395896">
            <w:pPr>
              <w:spacing w:after="0" w:line="240" w:lineRule="auto"/>
              <w:rPr>
                <w:rFonts w:ascii="Times New Roman" w:eastAsia="Times New Roman" w:hAnsi="Times New Roman" w:cs="Times New Roman"/>
                <w:b/>
                <w:bCs/>
                <w:sz w:val="18"/>
                <w:szCs w:val="18"/>
                <w:lang w:eastAsia="ru-RU"/>
              </w:rPr>
            </w:pPr>
            <w:r w:rsidRPr="00395896">
              <w:rPr>
                <w:rFonts w:ascii="Times New Roman" w:eastAsia="Times New Roman" w:hAnsi="Times New Roman" w:cs="Times New Roman"/>
                <w:b/>
                <w:bCs/>
                <w:sz w:val="18"/>
                <w:szCs w:val="18"/>
                <w:lang w:eastAsia="ru-RU"/>
              </w:rPr>
              <w:t>Тариф</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b/>
                <w:bCs/>
                <w:sz w:val="18"/>
                <w:lang w:eastAsia="ru-RU"/>
              </w:rPr>
              <w:t>11.</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b/>
                <w:bCs/>
                <w:sz w:val="18"/>
                <w:lang w:eastAsia="ru-RU"/>
              </w:rPr>
              <w:t>Кредитование</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 </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11.1</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Ипотечное кредитование</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 </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b/>
                <w:bCs/>
                <w:sz w:val="18"/>
                <w:lang w:eastAsia="ru-RU"/>
              </w:rPr>
              <w:t>11.2.</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Тарифы за обслуживание ипотечных кредитов</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 </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11.2.1.*</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внесение изменений в условия кредитного договора по инициативе заемщика (изменение сроков погашения (возврата) кредитных средств, включая уплату процентов; изменение процентных ставок, изменение обеспечения)</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3000 рублей РФ</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11.2.2.</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рассмотрение возможности проведения перепланировки в объекте недвижимости, являющемся предметом залога (НДС в установленном законом размере взимается дополнительно)</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6 000 рублей РФ</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11.2.3.</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рассмотрение возможности продления срока регистрации произведенной перепланировки (НДС в установленном законом размере взимается дополнительно)</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3 000 рублей РФ</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11.2.4.</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рассмотрение заявления на передачу предмета залога в коммерческий найм (НДС в установленном законом размере взимается дополнительно)</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6 000 рублей РФ</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11.2.5.</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рассмотрение заявления на выдачу согласия на постоянную/временную регистрацию третьих лиц в предмете залога (НДС в установленном законом размере взимается дополнительно)</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1 500 рублей РФ</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11.2.6.*</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рассмотрение возможности замены предмета залога (НДС в установленном законом размере взимается дополнительно)</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1 % от суммы основного долга,</w:t>
            </w:r>
            <w:r w:rsidRPr="00395896">
              <w:rPr>
                <w:rFonts w:ascii="Times New Roman" w:eastAsia="Times New Roman" w:hAnsi="Times New Roman" w:cs="Times New Roman"/>
                <w:sz w:val="18"/>
                <w:szCs w:val="18"/>
                <w:lang w:eastAsia="ru-RU"/>
              </w:rPr>
              <w:br/>
              <w:t>но не менее 9 000 рублей РФ</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11.2.7.*</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организацию проведения сделки по реализации предмета залога с последующим погашением записи об ипотеке (НДС в установленном законом размере взимается дополнительно)</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1 % от суммы основного долга,</w:t>
            </w:r>
            <w:r w:rsidRPr="00395896">
              <w:rPr>
                <w:rFonts w:ascii="Times New Roman" w:eastAsia="Times New Roman" w:hAnsi="Times New Roman" w:cs="Times New Roman"/>
                <w:sz w:val="18"/>
                <w:szCs w:val="18"/>
                <w:lang w:eastAsia="ru-RU"/>
              </w:rPr>
              <w:br/>
              <w:t>но не менее 9 000 рублей РФ</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11.2.8.*</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рассмотрение заявления на изменение состава Заемщиков/Созаемщиков/Поручителей (НДС в установленном законом размере взимается дополнительно)</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0,5 % от суммы основного долга,</w:t>
            </w:r>
            <w:r w:rsidRPr="00395896">
              <w:rPr>
                <w:rFonts w:ascii="Times New Roman" w:eastAsia="Times New Roman" w:hAnsi="Times New Roman" w:cs="Times New Roman"/>
                <w:sz w:val="18"/>
                <w:szCs w:val="18"/>
                <w:lang w:eastAsia="ru-RU"/>
              </w:rPr>
              <w:br/>
              <w:t>но не менее 9 000 рублей РФ</w:t>
            </w:r>
          </w:p>
        </w:tc>
      </w:tr>
      <w:tr w:rsidR="00395896" w:rsidRPr="00395896" w:rsidTr="00395896">
        <w:tc>
          <w:tcPr>
            <w:tcW w:w="0" w:type="auto"/>
            <w:gridSpan w:val="3"/>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i/>
                <w:iCs/>
                <w:sz w:val="18"/>
                <w:lang w:eastAsia="ru-RU"/>
              </w:rPr>
              <w:t>* Тарифы не взимаются в случае обращения заемщика за реструктуризацией задолженности по причине ухудшения его финансового положения. При условии соответствии заемщика условиям, являющимся основанием для предоставления Банком услуг по реструктуризации (условия определены Порядком обслуживания ипотечных кредитов (Процесс 8), утвержденным Приказом от 14.01.2009 № 21)</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11.3.</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Конвертация заемных денежных средств, выданных в иностранной валюте в рамках кредита на приобретение автомобиля, в рубли РФ</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Курс Банка России на дату проведения</w:t>
            </w:r>
            <w:r w:rsidRPr="00395896">
              <w:rPr>
                <w:rFonts w:ascii="Times New Roman" w:eastAsia="Times New Roman" w:hAnsi="Times New Roman" w:cs="Times New Roman"/>
                <w:i/>
                <w:iCs/>
                <w:sz w:val="18"/>
                <w:lang w:eastAsia="ru-RU"/>
              </w:rPr>
              <w:t>конверсионной операции</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11.4.</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Конвертация заемных средств, выданных в долларах США и евро в рамках ипотечного/предипотечного кредитного продукта, в рубли РФ</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Курс Банка, устанавливаемый Казначейством на дату проведения конверсионной операции минус 0,3 %.</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11.5.</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Конвертация заемных средств, выданных Банком в иностранной валюте, отличной от долларов США, евро, швейцарских франков и японских йен в рамках ипотечного/предипотечного кредитного продукта, в рубли РФ</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Курс Банка, установленный Казначейством на дату проведения конверсионной операции, минус 0,3 %.</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11.6.</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Конвертация заемных средств, выданных Банком в швейцарских франках и японских йенах в рамках ипотечного/предипотечного кредитного продукта, в рубли РФ</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Курс Банка, установленный Казначейством на дату проведения конверсионной операции, минус 0,2 %.</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11.7.</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Конвертация заемных средств, выданных Банком в швейцарских франках и японских йенах в рамках ипотечного/предипотечного кредитного продукта, в доллары США, евро</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Курс Банка, установленный Казначейством на дату проведения конверсионной операции, плюс 0,2 %.</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11.8.</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Конвертация рублей РФ, поступивших от физического лица — заемщика Банка:</w:t>
            </w:r>
            <w:r w:rsidRPr="00395896">
              <w:rPr>
                <w:rFonts w:ascii="Times New Roman" w:eastAsia="Times New Roman" w:hAnsi="Times New Roman" w:cs="Times New Roman"/>
                <w:sz w:val="18"/>
                <w:szCs w:val="18"/>
                <w:lang w:eastAsia="ru-RU"/>
              </w:rPr>
              <w:br/>
              <w:t>— в оплату комиссии Банка за выдачу ипотечного/предипотечного кредита;</w:t>
            </w:r>
            <w:r w:rsidRPr="00395896">
              <w:rPr>
                <w:rFonts w:ascii="Times New Roman" w:eastAsia="Times New Roman" w:hAnsi="Times New Roman" w:cs="Times New Roman"/>
                <w:sz w:val="18"/>
                <w:szCs w:val="18"/>
                <w:lang w:eastAsia="ru-RU"/>
              </w:rPr>
              <w:br/>
              <w:t>— в погашение задолженности (основной долг, проценты, в том числе просроченные, неустойки) по ипотечному/предипотечному кредиту,</w:t>
            </w:r>
            <w:r w:rsidRPr="00395896">
              <w:rPr>
                <w:rFonts w:ascii="Times New Roman" w:eastAsia="Times New Roman" w:hAnsi="Times New Roman" w:cs="Times New Roman"/>
                <w:sz w:val="18"/>
                <w:szCs w:val="18"/>
                <w:lang w:eastAsia="ru-RU"/>
              </w:rPr>
              <w:br/>
              <w:t>в швейцарские франки и японские йены</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Курс Банка России на дату проведения конверсионной операции плюс 0,5 %.</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11.9.</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Конвертация поступивших от территориального органа Пенсионного фонда Российской Федерации средств (части средств) материнского (семейного) капитала в рублях, направленных на погашение основного долга и процентов по ипотечному кредиту, в валюту, в которой заключен кредитный договор:</w:t>
            </w:r>
            <w:r w:rsidRPr="00395896">
              <w:rPr>
                <w:rFonts w:ascii="Times New Roman" w:eastAsia="Times New Roman" w:hAnsi="Times New Roman" w:cs="Times New Roman"/>
                <w:sz w:val="18"/>
                <w:lang w:eastAsia="ru-RU"/>
              </w:rPr>
              <w:t> </w:t>
            </w:r>
            <w:r w:rsidRPr="00395896">
              <w:rPr>
                <w:rFonts w:ascii="Times New Roman" w:eastAsia="Times New Roman" w:hAnsi="Times New Roman" w:cs="Times New Roman"/>
                <w:sz w:val="18"/>
                <w:szCs w:val="18"/>
                <w:lang w:eastAsia="ru-RU"/>
              </w:rPr>
              <w:br/>
              <w:t>— в доллары США;</w:t>
            </w:r>
            <w:r w:rsidRPr="00395896">
              <w:rPr>
                <w:rFonts w:ascii="Times New Roman" w:eastAsia="Times New Roman" w:hAnsi="Times New Roman" w:cs="Times New Roman"/>
                <w:sz w:val="18"/>
                <w:szCs w:val="18"/>
                <w:lang w:eastAsia="ru-RU"/>
              </w:rPr>
              <w:br/>
              <w:t>— евро;</w:t>
            </w:r>
            <w:r w:rsidRPr="00395896">
              <w:rPr>
                <w:rFonts w:ascii="Times New Roman" w:eastAsia="Times New Roman" w:hAnsi="Times New Roman" w:cs="Times New Roman"/>
                <w:sz w:val="18"/>
                <w:lang w:eastAsia="ru-RU"/>
              </w:rPr>
              <w:t> </w:t>
            </w:r>
            <w:r w:rsidRPr="00395896">
              <w:rPr>
                <w:rFonts w:ascii="Times New Roman" w:eastAsia="Times New Roman" w:hAnsi="Times New Roman" w:cs="Times New Roman"/>
                <w:sz w:val="18"/>
                <w:szCs w:val="18"/>
                <w:lang w:eastAsia="ru-RU"/>
              </w:rPr>
              <w:br/>
              <w:t>— швейцарские франки;</w:t>
            </w:r>
            <w:r w:rsidRPr="00395896">
              <w:rPr>
                <w:rFonts w:ascii="Times New Roman" w:eastAsia="Times New Roman" w:hAnsi="Times New Roman" w:cs="Times New Roman"/>
                <w:sz w:val="18"/>
                <w:szCs w:val="18"/>
                <w:lang w:eastAsia="ru-RU"/>
              </w:rPr>
              <w:br/>
              <w:t>— японские йены.</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Курс Банка России на дату поступления денежных средств от территориального органа Пенсионного фонда Российской Федерации на счет Банка</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11.10.</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выдачу справки о наличии/отсутствии просроченной задолженности по розничным кредитным продуктам за исключением кредитов под залог недвижимости (включая НДС)</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150 руб.</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11.11.</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выдачу справки о прекращении кредитного договора (полном погашении кредита) по розничным кредитным продуктам за исключением кредитов под залог недвижимости (включая НДС)</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150 руб.</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11.12.</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предоставление дубликатов кредитно-обеспечительной документации по розничным кредитным продуктам за исключением кредитов под залог недвижимости (включая НДС)</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600 руб.</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11.13.</w:t>
            </w:r>
          </w:p>
        </w:tc>
        <w:tc>
          <w:tcPr>
            <w:tcW w:w="0" w:type="auto"/>
            <w:gridSpan w:val="2"/>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b/>
                <w:bCs/>
                <w:sz w:val="18"/>
                <w:lang w:eastAsia="ru-RU"/>
              </w:rPr>
              <w:t>Кредитование по схеме, предусматривающей предоставление потребительского кредита и связанного с ним ипотечного кредита</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11.14.1.</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выдачу потребительского кредита</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1 % от суммы кредита,</w:t>
            </w:r>
            <w:r w:rsidRPr="00395896">
              <w:rPr>
                <w:rFonts w:ascii="Times New Roman" w:eastAsia="Times New Roman" w:hAnsi="Times New Roman" w:cs="Times New Roman"/>
                <w:sz w:val="18"/>
                <w:szCs w:val="18"/>
                <w:lang w:eastAsia="ru-RU"/>
              </w:rPr>
              <w:br/>
              <w:t>min 15 000 рублей РФ,</w:t>
            </w:r>
            <w:r w:rsidRPr="00395896">
              <w:rPr>
                <w:rFonts w:ascii="Times New Roman" w:eastAsia="Times New Roman" w:hAnsi="Times New Roman" w:cs="Times New Roman"/>
                <w:sz w:val="18"/>
                <w:szCs w:val="18"/>
                <w:lang w:eastAsia="ru-RU"/>
              </w:rPr>
              <w:br/>
              <w:t>max 60 000 рублей РФ</w:t>
            </w:r>
            <w:r w:rsidRPr="00395896">
              <w:rPr>
                <w:rFonts w:ascii="Times New Roman" w:eastAsia="Times New Roman" w:hAnsi="Times New Roman" w:cs="Times New Roman"/>
                <w:sz w:val="18"/>
                <w:szCs w:val="18"/>
                <w:lang w:eastAsia="ru-RU"/>
              </w:rPr>
              <w:br/>
              <w:t>(эквивалент в валюте кредита по курсу ЦБ РФ на дату оплату)</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11.14.2.</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выдачу ипотечного кредита</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Бесплатно</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11.15.</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Выбор даты ежемесячного платежа при подаче Анкеты-заявления по всем розничным кредитным продуктам, за исключением ипотечных программ Банка</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Бесплатно</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11.16.</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Изменение даты ежемесячного платежа по всем розничным кредитным продуктам, за исключением ипотечных программ Банка</w:t>
            </w:r>
            <w:r w:rsidRPr="00395896">
              <w:rPr>
                <w:rFonts w:ascii="Times New Roman" w:eastAsia="Times New Roman" w:hAnsi="Times New Roman" w:cs="Times New Roman"/>
                <w:sz w:val="18"/>
                <w:szCs w:val="18"/>
                <w:vertAlign w:val="superscript"/>
                <w:lang w:eastAsia="ru-RU"/>
              </w:rPr>
              <w:t>1</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500 рублей РФ</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lastRenderedPageBreak/>
              <w:t>11.17.</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Комиссия за предоставление повторной реструктуризации по всем розничным кредитным продуктам Банка за исключением кредитных карт и ипотечных программ Банка</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jc w:val="center"/>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1500 руб.</w:t>
            </w:r>
          </w:p>
        </w:tc>
      </w:tr>
      <w:tr w:rsidR="00395896" w:rsidRPr="00395896" w:rsidTr="00395896">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11.18.</w:t>
            </w:r>
          </w:p>
        </w:tc>
        <w:tc>
          <w:tcPr>
            <w:tcW w:w="0" w:type="auto"/>
            <w:tcBorders>
              <w:top w:val="nil"/>
              <w:left w:val="single" w:sz="6" w:space="0" w:color="ECECEC"/>
              <w:bottom w:val="single" w:sz="6" w:space="0" w:color="ECECEC"/>
              <w:right w:val="nil"/>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Times New Roman" w:cs="Times New Roman"/>
                <w:sz w:val="18"/>
                <w:szCs w:val="18"/>
                <w:lang w:eastAsia="ru-RU"/>
              </w:rPr>
              <w:t>Предоставление «Кредитных каникул» по розничному кредитному продукту «Кредит наличными»</w:t>
            </w:r>
            <w:r w:rsidRPr="00395896">
              <w:rPr>
                <w:rFonts w:ascii="Times New Roman" w:eastAsia="Times New Roman" w:hAnsi="Times New Roman" w:cs="Times New Roman"/>
                <w:sz w:val="18"/>
                <w:szCs w:val="18"/>
                <w:vertAlign w:val="superscript"/>
                <w:lang w:eastAsia="ru-RU"/>
              </w:rPr>
              <w:t>2</w:t>
            </w:r>
          </w:p>
        </w:tc>
        <w:tc>
          <w:tcPr>
            <w:tcW w:w="0" w:type="auto"/>
            <w:tcBorders>
              <w:top w:val="nil"/>
              <w:left w:val="single" w:sz="6" w:space="0" w:color="ECECEC"/>
              <w:bottom w:val="single" w:sz="6" w:space="0" w:color="ECECEC"/>
              <w:right w:val="single" w:sz="6" w:space="0" w:color="ECECEC"/>
            </w:tcBorders>
            <w:hideMark/>
          </w:tcPr>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Symbol" w:cs="Times New Roman"/>
                <w:sz w:val="18"/>
                <w:szCs w:val="18"/>
                <w:lang w:eastAsia="ru-RU"/>
              </w:rPr>
              <w:t></w:t>
            </w:r>
            <w:r w:rsidRPr="00395896">
              <w:rPr>
                <w:rFonts w:ascii="Times New Roman" w:eastAsia="Times New Roman" w:hAnsi="Times New Roman" w:cs="Times New Roman"/>
                <w:sz w:val="18"/>
                <w:szCs w:val="18"/>
                <w:lang w:eastAsia="ru-RU"/>
              </w:rPr>
              <w:t xml:space="preserve">  1199 рублей за первый пропуск платежа (включая НДС);</w:t>
            </w:r>
          </w:p>
          <w:p w:rsidR="00395896" w:rsidRPr="00395896" w:rsidRDefault="00395896" w:rsidP="00395896">
            <w:pPr>
              <w:spacing w:after="0" w:line="240" w:lineRule="auto"/>
              <w:rPr>
                <w:rFonts w:ascii="Times New Roman" w:eastAsia="Times New Roman" w:hAnsi="Times New Roman" w:cs="Times New Roman"/>
                <w:sz w:val="18"/>
                <w:szCs w:val="18"/>
                <w:lang w:eastAsia="ru-RU"/>
              </w:rPr>
            </w:pPr>
            <w:r w:rsidRPr="00395896">
              <w:rPr>
                <w:rFonts w:ascii="Times New Roman" w:eastAsia="Times New Roman" w:hAnsi="Symbol" w:cs="Times New Roman"/>
                <w:sz w:val="18"/>
                <w:szCs w:val="18"/>
                <w:lang w:eastAsia="ru-RU"/>
              </w:rPr>
              <w:t></w:t>
            </w:r>
            <w:r w:rsidRPr="00395896">
              <w:rPr>
                <w:rFonts w:ascii="Times New Roman" w:eastAsia="Times New Roman" w:hAnsi="Times New Roman" w:cs="Times New Roman"/>
                <w:sz w:val="18"/>
                <w:szCs w:val="18"/>
                <w:lang w:eastAsia="ru-RU"/>
              </w:rPr>
              <w:t xml:space="preserve">  1799 рублей за второй и последующие пропуски платежей (включая НДС)</w:t>
            </w:r>
          </w:p>
        </w:tc>
      </w:tr>
    </w:tbl>
    <w:p w:rsidR="00395896" w:rsidRPr="00395896" w:rsidRDefault="00395896" w:rsidP="00395896">
      <w:pPr>
        <w:shd w:val="clear" w:color="auto" w:fill="FFFFFF"/>
        <w:spacing w:after="180" w:line="270" w:lineRule="atLeast"/>
        <w:rPr>
          <w:rFonts w:ascii="Arial" w:eastAsia="Times New Roman" w:hAnsi="Arial" w:cs="Arial"/>
          <w:color w:val="000000"/>
          <w:sz w:val="18"/>
          <w:szCs w:val="18"/>
          <w:lang w:eastAsia="ru-RU"/>
        </w:rPr>
      </w:pPr>
      <w:r w:rsidRPr="00395896">
        <w:rPr>
          <w:rFonts w:ascii="Arial" w:eastAsia="Times New Roman" w:hAnsi="Arial" w:cs="Arial"/>
          <w:i/>
          <w:iCs/>
          <w:color w:val="000000"/>
          <w:sz w:val="18"/>
          <w:vertAlign w:val="superscript"/>
          <w:lang w:eastAsia="ru-RU"/>
        </w:rPr>
        <w:t>1</w:t>
      </w:r>
      <w:r w:rsidRPr="00395896">
        <w:rPr>
          <w:rFonts w:ascii="Arial" w:eastAsia="Times New Roman" w:hAnsi="Arial" w:cs="Arial"/>
          <w:i/>
          <w:iCs/>
          <w:color w:val="000000"/>
          <w:sz w:val="18"/>
          <w:lang w:eastAsia="ru-RU"/>
        </w:rPr>
        <w:t> Услуга по переносу даты аннуитетного платежа предоставляется Заемщику и Созаемщику один раз за весь срок кредита.</w:t>
      </w:r>
    </w:p>
    <w:p w:rsidR="00395896" w:rsidRPr="00395896" w:rsidRDefault="00395896" w:rsidP="00395896">
      <w:pPr>
        <w:shd w:val="clear" w:color="auto" w:fill="FFFFFF"/>
        <w:spacing w:after="180" w:line="270" w:lineRule="atLeast"/>
        <w:rPr>
          <w:rFonts w:ascii="Arial" w:eastAsia="Times New Roman" w:hAnsi="Arial" w:cs="Arial"/>
          <w:color w:val="000000"/>
          <w:sz w:val="18"/>
          <w:szCs w:val="18"/>
          <w:lang w:eastAsia="ru-RU"/>
        </w:rPr>
      </w:pPr>
      <w:r w:rsidRPr="00395896">
        <w:rPr>
          <w:rFonts w:ascii="Arial" w:eastAsia="Times New Roman" w:hAnsi="Arial" w:cs="Arial"/>
          <w:i/>
          <w:iCs/>
          <w:color w:val="000000"/>
          <w:sz w:val="18"/>
          <w:vertAlign w:val="superscript"/>
          <w:lang w:eastAsia="ru-RU"/>
        </w:rPr>
        <w:t>2</w:t>
      </w:r>
      <w:r w:rsidRPr="00395896">
        <w:rPr>
          <w:rFonts w:ascii="Arial" w:eastAsia="Times New Roman" w:hAnsi="Arial" w:cs="Arial"/>
          <w:i/>
          <w:iCs/>
          <w:color w:val="000000"/>
          <w:sz w:val="18"/>
          <w:lang w:eastAsia="ru-RU"/>
        </w:rPr>
        <w:t> Для розничных кредитных продуктов «Кредит наличными», выданных в рамках CRM-кампаний, услуга «Кредитные каникулы» предоставляется бесплатно 1 раз за первый пропуск платежа в течение срока действия кредита, предоставленного в период с 02.02.2015 по 02.06.2015.</w:t>
      </w:r>
    </w:p>
    <w:p w:rsidR="003936A4" w:rsidRDefault="00395896"/>
    <w:sectPr w:rsidR="003936A4" w:rsidSect="00217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5896"/>
    <w:rsid w:val="0014727D"/>
    <w:rsid w:val="00217299"/>
    <w:rsid w:val="00395896"/>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99"/>
  </w:style>
  <w:style w:type="paragraph" w:styleId="2">
    <w:name w:val="heading 2"/>
    <w:basedOn w:val="a"/>
    <w:link w:val="20"/>
    <w:uiPriority w:val="9"/>
    <w:qFormat/>
    <w:rsid w:val="003958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5896"/>
    <w:rPr>
      <w:rFonts w:ascii="Times New Roman" w:eastAsia="Times New Roman" w:hAnsi="Times New Roman" w:cs="Times New Roman"/>
      <w:b/>
      <w:bCs/>
      <w:sz w:val="36"/>
      <w:szCs w:val="36"/>
      <w:lang w:eastAsia="ru-RU"/>
    </w:rPr>
  </w:style>
  <w:style w:type="character" w:styleId="a3">
    <w:name w:val="Strong"/>
    <w:basedOn w:val="a0"/>
    <w:uiPriority w:val="22"/>
    <w:qFormat/>
    <w:rsid w:val="00395896"/>
    <w:rPr>
      <w:b/>
      <w:bCs/>
    </w:rPr>
  </w:style>
  <w:style w:type="character" w:styleId="a4">
    <w:name w:val="Emphasis"/>
    <w:basedOn w:val="a0"/>
    <w:uiPriority w:val="20"/>
    <w:qFormat/>
    <w:rsid w:val="00395896"/>
    <w:rPr>
      <w:i/>
      <w:iCs/>
    </w:rPr>
  </w:style>
  <w:style w:type="character" w:customStyle="1" w:styleId="apple-converted-space">
    <w:name w:val="apple-converted-space"/>
    <w:basedOn w:val="a0"/>
    <w:rsid w:val="00395896"/>
  </w:style>
  <w:style w:type="paragraph" w:styleId="a5">
    <w:name w:val="Normal (Web)"/>
    <w:basedOn w:val="a"/>
    <w:uiPriority w:val="99"/>
    <w:semiHidden/>
    <w:unhideWhenUsed/>
    <w:rsid w:val="003958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4221237">
      <w:bodyDiv w:val="1"/>
      <w:marLeft w:val="0"/>
      <w:marRight w:val="0"/>
      <w:marTop w:val="0"/>
      <w:marBottom w:val="0"/>
      <w:divBdr>
        <w:top w:val="none" w:sz="0" w:space="0" w:color="auto"/>
        <w:left w:val="none" w:sz="0" w:space="0" w:color="auto"/>
        <w:bottom w:val="none" w:sz="0" w:space="0" w:color="auto"/>
        <w:right w:val="none" w:sz="0" w:space="0" w:color="auto"/>
      </w:divBdr>
      <w:divsChild>
        <w:div w:id="1267691525">
          <w:marLeft w:val="0"/>
          <w:marRight w:val="0"/>
          <w:marTop w:val="0"/>
          <w:marBottom w:val="0"/>
          <w:divBdr>
            <w:top w:val="none" w:sz="0" w:space="0" w:color="auto"/>
            <w:left w:val="none" w:sz="0" w:space="0" w:color="auto"/>
            <w:bottom w:val="none" w:sz="0" w:space="0" w:color="auto"/>
            <w:right w:val="none" w:sz="0" w:space="0" w:color="auto"/>
          </w:divBdr>
        </w:div>
      </w:divsChild>
    </w:div>
    <w:div w:id="2036929456">
      <w:bodyDiv w:val="1"/>
      <w:marLeft w:val="0"/>
      <w:marRight w:val="0"/>
      <w:marTop w:val="0"/>
      <w:marBottom w:val="0"/>
      <w:divBdr>
        <w:top w:val="none" w:sz="0" w:space="0" w:color="auto"/>
        <w:left w:val="none" w:sz="0" w:space="0" w:color="auto"/>
        <w:bottom w:val="none" w:sz="0" w:space="0" w:color="auto"/>
        <w:right w:val="none" w:sz="0" w:space="0" w:color="auto"/>
      </w:divBdr>
      <w:divsChild>
        <w:div w:id="42711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941</Words>
  <Characters>5364</Characters>
  <Application>Microsoft Office Word</Application>
  <DocSecurity>0</DocSecurity>
  <Lines>44</Lines>
  <Paragraphs>12</Paragraphs>
  <ScaleCrop>false</ScaleCrop>
  <Company>Melkosoft</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2016-09-25T08:29:00Z</dcterms:created>
  <dcterms:modified xsi:type="dcterms:W3CDTF">2016-09-25T08:30:00Z</dcterms:modified>
</cp:coreProperties>
</file>