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D" w:rsidRDefault="000D46FD" w:rsidP="000D46FD">
      <w:pPr>
        <w:pStyle w:val="1"/>
        <w:shd w:val="clear" w:color="auto" w:fill="FFFFFF"/>
        <w:spacing w:before="150" w:after="75" w:line="240" w:lineRule="atLeast"/>
        <w:ind w:right="195"/>
        <w:textAlignment w:val="baseline"/>
        <w:rPr>
          <w:rFonts w:ascii="Arial" w:hAnsi="Arial" w:cs="Arial"/>
          <w:b w:val="0"/>
          <w:bCs w:val="0"/>
          <w:caps/>
          <w:color w:val="E08020"/>
          <w:sz w:val="54"/>
          <w:szCs w:val="54"/>
        </w:rPr>
      </w:pPr>
      <w:r>
        <w:rPr>
          <w:rFonts w:ascii="Arial" w:hAnsi="Arial" w:cs="Arial"/>
          <w:b w:val="0"/>
          <w:bCs w:val="0"/>
          <w:caps/>
          <w:color w:val="E08020"/>
          <w:sz w:val="54"/>
          <w:szCs w:val="54"/>
        </w:rPr>
        <w:t>ВКЛАД "СТАБИЛЬНЫЙ РОСТ"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УСЛОВИЯ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срочного банковского вклада для физических лиц</w:t>
      </w:r>
      <w:r>
        <w:rPr>
          <w:rStyle w:val="apple-converted-space"/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«СТАБИЛЬНЫЙ РОСТ»</w:t>
      </w:r>
    </w:p>
    <w:p w:rsidR="000D46FD" w:rsidRDefault="000D46FD" w:rsidP="000D46FD">
      <w:pPr>
        <w:pStyle w:val="default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a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 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 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Место открытия вклада:</w:t>
      </w:r>
      <w:r>
        <w:rPr>
          <w:rStyle w:val="apple-converted-space"/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любое подразделение ПАО БАНК «ЮГРА»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Валюта вклада:</w:t>
      </w:r>
      <w:r>
        <w:rPr>
          <w:rStyle w:val="apple-converted-space"/>
          <w:rFonts w:ascii="Tahoma" w:hAnsi="Tahoma" w:cs="Tahoma"/>
          <w:color w:val="606060"/>
          <w:sz w:val="18"/>
          <w:szCs w:val="18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российские рубли / доллары США / евро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Минимальная сумма вклада:</w:t>
      </w:r>
      <w:r>
        <w:rPr>
          <w:rStyle w:val="apple-converted-space"/>
          <w:rFonts w:ascii="Tahoma" w:hAnsi="Tahoma" w:cs="Tahoma"/>
          <w:color w:val="606060"/>
          <w:sz w:val="18"/>
          <w:szCs w:val="18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50 000 российских рублей / 1 000 долларов США / 1 000 евро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Срок размещения:</w:t>
      </w:r>
      <w:r>
        <w:rPr>
          <w:rStyle w:val="apple-converted-space"/>
          <w:rFonts w:ascii="Tahoma" w:hAnsi="Tahoma" w:cs="Tahoma"/>
          <w:color w:val="606060"/>
          <w:sz w:val="18"/>
          <w:szCs w:val="18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367 дней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Возможность пополнения:</w:t>
      </w:r>
      <w:r>
        <w:rPr>
          <w:rStyle w:val="apple-converted-space"/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в течение первых 90 дней, следующих за датой открытия вклада.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Минимальная сумма пополнения:</w:t>
      </w:r>
      <w:r>
        <w:rPr>
          <w:rStyle w:val="apple-converted-space"/>
          <w:rFonts w:ascii="Tahoma" w:hAnsi="Tahoma" w:cs="Tahoma"/>
          <w:color w:val="606060"/>
          <w:sz w:val="18"/>
          <w:szCs w:val="18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10 000 российских рублей / 150 долларов США/ 150 евро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Максимальная сумма вклада с учетом всех принятых дополнительных взносов ограничена первоначальной суммой вклада, увеличенной в 5 (пять) раз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Возможность частичного возврата вклада:</w:t>
      </w:r>
      <w:r>
        <w:rPr>
          <w:rStyle w:val="apple-converted-space"/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не предусмотрено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Процентные ставки: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 </w:t>
      </w:r>
    </w:p>
    <w:tbl>
      <w:tblPr>
        <w:tblW w:w="769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395"/>
        <w:gridCol w:w="1361"/>
        <w:gridCol w:w="1516"/>
        <w:gridCol w:w="1595"/>
        <w:gridCol w:w="1828"/>
      </w:tblGrid>
      <w:tr w:rsidR="000D46FD" w:rsidTr="000D46FD">
        <w:tc>
          <w:tcPr>
            <w:tcW w:w="800" w:type="pct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Валюта вклада</w:t>
            </w:r>
          </w:p>
        </w:tc>
        <w:tc>
          <w:tcPr>
            <w:tcW w:w="4150" w:type="pct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Ставка по вкладу (процентов годовых)</w:t>
            </w:r>
          </w:p>
        </w:tc>
      </w:tr>
      <w:tr w:rsidR="000D46FD" w:rsidTr="000D46FD"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vAlign w:val="center"/>
            <w:hideMark/>
          </w:tcPr>
          <w:p w:rsidR="000D46FD" w:rsidRDefault="000D46FD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1 период</w:t>
            </w:r>
          </w:p>
        </w:tc>
        <w:tc>
          <w:tcPr>
            <w:tcW w:w="1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rStyle w:val="apple-converted-space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период</w:t>
            </w:r>
          </w:p>
        </w:tc>
        <w:tc>
          <w:tcPr>
            <w:tcW w:w="105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Style w:val="apple-converted-space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период</w:t>
            </w:r>
          </w:p>
        </w:tc>
        <w:tc>
          <w:tcPr>
            <w:tcW w:w="115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4</w:t>
            </w:r>
            <w:r>
              <w:rPr>
                <w:rStyle w:val="apple-converted-space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период</w:t>
            </w:r>
          </w:p>
        </w:tc>
      </w:tr>
      <w:tr w:rsidR="000D46FD" w:rsidTr="000D46FD"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vAlign w:val="center"/>
            <w:hideMark/>
          </w:tcPr>
          <w:p w:rsidR="000D46FD" w:rsidRDefault="000D46FD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с 1 по 90 дней</w:t>
            </w:r>
          </w:p>
        </w:tc>
        <w:tc>
          <w:tcPr>
            <w:tcW w:w="1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с 91 по 180 дней</w:t>
            </w:r>
          </w:p>
        </w:tc>
        <w:tc>
          <w:tcPr>
            <w:tcW w:w="105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с 181 по 270 дней</w:t>
            </w:r>
          </w:p>
        </w:tc>
        <w:tc>
          <w:tcPr>
            <w:tcW w:w="115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с 271 по 367дней</w:t>
            </w:r>
          </w:p>
        </w:tc>
      </w:tr>
      <w:tr w:rsidR="000D46FD" w:rsidTr="000D46FD">
        <w:tc>
          <w:tcPr>
            <w:tcW w:w="8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5"/>
              <w:spacing w:before="0"/>
              <w:jc w:val="center"/>
              <w:textAlignment w:val="baseline"/>
              <w:rPr>
                <w:rFonts w:ascii="Tahoma" w:hAnsi="Tahoma" w:cs="Tahoma"/>
                <w:color w:val="E08020"/>
                <w:sz w:val="23"/>
                <w:szCs w:val="23"/>
              </w:rPr>
            </w:pPr>
            <w:r>
              <w:rPr>
                <w:rStyle w:val="a5"/>
                <w:rFonts w:ascii="Tahoma" w:hAnsi="Tahoma" w:cs="Tahoma"/>
                <w:b w:val="0"/>
                <w:bCs w:val="0"/>
                <w:color w:val="E08020"/>
                <w:sz w:val="23"/>
                <w:szCs w:val="23"/>
                <w:bdr w:val="none" w:sz="0" w:space="0" w:color="auto" w:frame="1"/>
              </w:rPr>
              <w:t>Рубли РФ</w:t>
            </w:r>
          </w:p>
        </w:tc>
        <w:tc>
          <w:tcPr>
            <w:tcW w:w="9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7,00</w:t>
            </w:r>
          </w:p>
        </w:tc>
        <w:tc>
          <w:tcPr>
            <w:tcW w:w="1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9,00</w:t>
            </w:r>
          </w:p>
        </w:tc>
        <w:tc>
          <w:tcPr>
            <w:tcW w:w="105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10,00</w:t>
            </w:r>
          </w:p>
        </w:tc>
        <w:tc>
          <w:tcPr>
            <w:tcW w:w="115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11,50</w:t>
            </w:r>
          </w:p>
        </w:tc>
      </w:tr>
      <w:tr w:rsidR="000D46FD" w:rsidTr="000D46FD">
        <w:tc>
          <w:tcPr>
            <w:tcW w:w="8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5"/>
              <w:spacing w:before="0"/>
              <w:jc w:val="center"/>
              <w:textAlignment w:val="baseline"/>
              <w:rPr>
                <w:rFonts w:ascii="Tahoma" w:hAnsi="Tahoma" w:cs="Tahoma"/>
                <w:color w:val="E08020"/>
                <w:sz w:val="23"/>
                <w:szCs w:val="23"/>
              </w:rPr>
            </w:pPr>
            <w:r>
              <w:rPr>
                <w:rStyle w:val="a5"/>
                <w:rFonts w:ascii="Tahoma" w:hAnsi="Tahoma" w:cs="Tahoma"/>
                <w:b w:val="0"/>
                <w:bCs w:val="0"/>
                <w:color w:val="E08020"/>
                <w:sz w:val="23"/>
                <w:szCs w:val="23"/>
                <w:bdr w:val="none" w:sz="0" w:space="0" w:color="auto" w:frame="1"/>
              </w:rPr>
              <w:t>Доллары США</w:t>
            </w:r>
          </w:p>
        </w:tc>
        <w:tc>
          <w:tcPr>
            <w:tcW w:w="9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2,00</w:t>
            </w:r>
          </w:p>
        </w:tc>
        <w:tc>
          <w:tcPr>
            <w:tcW w:w="1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3,00</w:t>
            </w:r>
          </w:p>
        </w:tc>
        <w:tc>
          <w:tcPr>
            <w:tcW w:w="105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3,50</w:t>
            </w:r>
          </w:p>
        </w:tc>
        <w:tc>
          <w:tcPr>
            <w:tcW w:w="115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4,50</w:t>
            </w:r>
          </w:p>
        </w:tc>
      </w:tr>
      <w:tr w:rsidR="000D46FD" w:rsidTr="000D46FD">
        <w:tc>
          <w:tcPr>
            <w:tcW w:w="8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5"/>
              <w:spacing w:before="0"/>
              <w:jc w:val="center"/>
              <w:textAlignment w:val="baseline"/>
              <w:rPr>
                <w:rFonts w:ascii="Tahoma" w:hAnsi="Tahoma" w:cs="Tahoma"/>
                <w:color w:val="E08020"/>
                <w:sz w:val="23"/>
                <w:szCs w:val="23"/>
              </w:rPr>
            </w:pPr>
            <w:r>
              <w:rPr>
                <w:rStyle w:val="a5"/>
                <w:rFonts w:ascii="Tahoma" w:hAnsi="Tahoma" w:cs="Tahoma"/>
                <w:b w:val="0"/>
                <w:bCs w:val="0"/>
                <w:color w:val="E08020"/>
                <w:sz w:val="23"/>
                <w:szCs w:val="23"/>
                <w:bdr w:val="none" w:sz="0" w:space="0" w:color="auto" w:frame="1"/>
              </w:rPr>
              <w:t>Евро</w:t>
            </w:r>
          </w:p>
        </w:tc>
        <w:tc>
          <w:tcPr>
            <w:tcW w:w="9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1,50</w:t>
            </w:r>
          </w:p>
        </w:tc>
        <w:tc>
          <w:tcPr>
            <w:tcW w:w="100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2,50</w:t>
            </w:r>
          </w:p>
        </w:tc>
        <w:tc>
          <w:tcPr>
            <w:tcW w:w="105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3,00</w:t>
            </w:r>
          </w:p>
        </w:tc>
        <w:tc>
          <w:tcPr>
            <w:tcW w:w="1150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D46FD" w:rsidRDefault="000D46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4,00</w:t>
            </w:r>
          </w:p>
        </w:tc>
      </w:tr>
    </w:tbl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 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Порядок выплаты процентов:</w:t>
      </w:r>
      <w:r>
        <w:rPr>
          <w:rStyle w:val="apple-converted-space"/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в конце каждого процентного периода путем причисления к сумме вклада (капитализация)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Досрочное расторжение договора:</w:t>
      </w:r>
      <w:r>
        <w:rPr>
          <w:rStyle w:val="apple-converted-space"/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 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В случае досрочного расторжения договора вклада проценты рассчитываются и выплачиваются: </w:t>
      </w:r>
    </w:p>
    <w:p w:rsidR="000D46FD" w:rsidRDefault="000D46FD" w:rsidP="000D46FD">
      <w:pPr>
        <w:numPr>
          <w:ilvl w:val="0"/>
          <w:numId w:val="28"/>
        </w:numPr>
        <w:shd w:val="clear" w:color="auto" w:fill="FFFFFF"/>
        <w:spacing w:after="0" w:line="270" w:lineRule="atLeast"/>
        <w:ind w:left="0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при нахождении денежных средств во вкладе до 180 дней (включительно) - по ставке 0,01% годовых,</w:t>
      </w:r>
    </w:p>
    <w:p w:rsidR="000D46FD" w:rsidRDefault="000D46FD" w:rsidP="000D46FD">
      <w:pPr>
        <w:numPr>
          <w:ilvl w:val="0"/>
          <w:numId w:val="28"/>
        </w:numPr>
        <w:shd w:val="clear" w:color="auto" w:fill="FFFFFF"/>
        <w:spacing w:after="0" w:line="270" w:lineRule="atLeast"/>
        <w:ind w:left="0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при нахождении денежных средств во вкладе от 181 дней до 270 дней (включительно) -  по ставке 4,00 процента годовых (если валюта вклада - российские рубли) либо 1,00 процента годовых (если валюта вклада - доллары США или евро);</w:t>
      </w:r>
    </w:p>
    <w:p w:rsidR="000D46FD" w:rsidRDefault="000D46FD" w:rsidP="000D46FD">
      <w:pPr>
        <w:numPr>
          <w:ilvl w:val="0"/>
          <w:numId w:val="28"/>
        </w:numPr>
        <w:shd w:val="clear" w:color="auto" w:fill="FFFFFF"/>
        <w:spacing w:after="0" w:line="270" w:lineRule="atLeast"/>
        <w:ind w:left="0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при нахождении денежных средств во вкладе от 271 дней до 366 дней (включительно) – по ставке 5,00 процентов годовых (если валюта вклада - российские рубли) либо 1,50 процента годовых (если валюта вклада - доллары США или евро);</w:t>
      </w:r>
    </w:p>
    <w:p w:rsidR="000D46FD" w:rsidRDefault="000D46FD" w:rsidP="000D46FD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Продление срока вклада (пролонгация) договора:</w:t>
      </w:r>
      <w:r>
        <w:rPr>
          <w:rStyle w:val="apple-converted-space"/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не предусмотрено</w:t>
      </w:r>
    </w:p>
    <w:p w:rsidR="003936A4" w:rsidRPr="000D46FD" w:rsidRDefault="000D46FD" w:rsidP="000D46FD"/>
    <w:sectPr w:rsidR="003936A4" w:rsidRPr="000D46FD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E2A"/>
    <w:multiLevelType w:val="multilevel"/>
    <w:tmpl w:val="379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6F52"/>
    <w:multiLevelType w:val="multilevel"/>
    <w:tmpl w:val="B83E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A6720"/>
    <w:multiLevelType w:val="multilevel"/>
    <w:tmpl w:val="263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D594F"/>
    <w:multiLevelType w:val="multilevel"/>
    <w:tmpl w:val="C98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46D20"/>
    <w:multiLevelType w:val="multilevel"/>
    <w:tmpl w:val="4FF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93485"/>
    <w:multiLevelType w:val="multilevel"/>
    <w:tmpl w:val="413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70083"/>
    <w:multiLevelType w:val="multilevel"/>
    <w:tmpl w:val="A5D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92D98"/>
    <w:multiLevelType w:val="multilevel"/>
    <w:tmpl w:val="99A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776FF"/>
    <w:multiLevelType w:val="multilevel"/>
    <w:tmpl w:val="F29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B760E"/>
    <w:multiLevelType w:val="multilevel"/>
    <w:tmpl w:val="927E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7301"/>
    <w:multiLevelType w:val="multilevel"/>
    <w:tmpl w:val="643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35BED"/>
    <w:multiLevelType w:val="multilevel"/>
    <w:tmpl w:val="C69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52A52"/>
    <w:multiLevelType w:val="multilevel"/>
    <w:tmpl w:val="A1F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A55ED"/>
    <w:multiLevelType w:val="multilevel"/>
    <w:tmpl w:val="70C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876B1"/>
    <w:multiLevelType w:val="multilevel"/>
    <w:tmpl w:val="84C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662E6"/>
    <w:multiLevelType w:val="multilevel"/>
    <w:tmpl w:val="B75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B4A0E"/>
    <w:multiLevelType w:val="multilevel"/>
    <w:tmpl w:val="8C8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42C59"/>
    <w:multiLevelType w:val="multilevel"/>
    <w:tmpl w:val="0B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AE5889"/>
    <w:multiLevelType w:val="multilevel"/>
    <w:tmpl w:val="92C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936E72"/>
    <w:multiLevelType w:val="multilevel"/>
    <w:tmpl w:val="C1E8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8835D6"/>
    <w:multiLevelType w:val="multilevel"/>
    <w:tmpl w:val="218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970AC"/>
    <w:multiLevelType w:val="multilevel"/>
    <w:tmpl w:val="6C7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8F518E"/>
    <w:multiLevelType w:val="multilevel"/>
    <w:tmpl w:val="0BF6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77E7C"/>
    <w:multiLevelType w:val="multilevel"/>
    <w:tmpl w:val="4AA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8151CC"/>
    <w:multiLevelType w:val="multilevel"/>
    <w:tmpl w:val="9FA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8D7663"/>
    <w:multiLevelType w:val="multilevel"/>
    <w:tmpl w:val="0D6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C24B4B"/>
    <w:multiLevelType w:val="multilevel"/>
    <w:tmpl w:val="763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AE6351"/>
    <w:multiLevelType w:val="multilevel"/>
    <w:tmpl w:val="DB9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0"/>
  </w:num>
  <w:num w:numId="5">
    <w:abstractNumId w:val="26"/>
  </w:num>
  <w:num w:numId="6">
    <w:abstractNumId w:val="12"/>
  </w:num>
  <w:num w:numId="7">
    <w:abstractNumId w:val="27"/>
  </w:num>
  <w:num w:numId="8">
    <w:abstractNumId w:val="22"/>
  </w:num>
  <w:num w:numId="9">
    <w:abstractNumId w:val="16"/>
  </w:num>
  <w:num w:numId="10">
    <w:abstractNumId w:val="20"/>
  </w:num>
  <w:num w:numId="11">
    <w:abstractNumId w:val="3"/>
  </w:num>
  <w:num w:numId="12">
    <w:abstractNumId w:val="5"/>
  </w:num>
  <w:num w:numId="13">
    <w:abstractNumId w:val="11"/>
  </w:num>
  <w:num w:numId="14">
    <w:abstractNumId w:val="24"/>
  </w:num>
  <w:num w:numId="15">
    <w:abstractNumId w:val="14"/>
  </w:num>
  <w:num w:numId="16">
    <w:abstractNumId w:val="25"/>
  </w:num>
  <w:num w:numId="17">
    <w:abstractNumId w:val="7"/>
  </w:num>
  <w:num w:numId="18">
    <w:abstractNumId w:val="9"/>
  </w:num>
  <w:num w:numId="19">
    <w:abstractNumId w:val="8"/>
  </w:num>
  <w:num w:numId="20">
    <w:abstractNumId w:val="18"/>
  </w:num>
  <w:num w:numId="21">
    <w:abstractNumId w:val="15"/>
  </w:num>
  <w:num w:numId="22">
    <w:abstractNumId w:val="4"/>
  </w:num>
  <w:num w:numId="23">
    <w:abstractNumId w:val="13"/>
  </w:num>
  <w:num w:numId="24">
    <w:abstractNumId w:val="1"/>
  </w:num>
  <w:num w:numId="25">
    <w:abstractNumId w:val="21"/>
  </w:num>
  <w:num w:numId="26">
    <w:abstractNumId w:val="6"/>
  </w:num>
  <w:num w:numId="27">
    <w:abstractNumId w:val="19"/>
  </w:num>
  <w:num w:numId="28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3AA3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46F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270F4"/>
    <w:rsid w:val="00342493"/>
    <w:rsid w:val="003452C4"/>
    <w:rsid w:val="003462A6"/>
    <w:rsid w:val="0035690D"/>
    <w:rsid w:val="0035785A"/>
    <w:rsid w:val="003710A2"/>
    <w:rsid w:val="00380973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0911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60C7B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5176D"/>
    <w:rsid w:val="006563C4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4B0B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3870"/>
    <w:rsid w:val="009C6363"/>
    <w:rsid w:val="009D1EF0"/>
    <w:rsid w:val="009D7290"/>
    <w:rsid w:val="009D7424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C7C21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D0E52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23445"/>
    <w:rsid w:val="00D26D76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6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  <w:style w:type="paragraph" w:customStyle="1" w:styleId="default">
    <w:name w:val="default"/>
    <w:basedOn w:val="a"/>
    <w:rsid w:val="0065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46FD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216</cp:revision>
  <dcterms:created xsi:type="dcterms:W3CDTF">2016-08-03T21:16:00Z</dcterms:created>
  <dcterms:modified xsi:type="dcterms:W3CDTF">2016-08-14T20:04:00Z</dcterms:modified>
</cp:coreProperties>
</file>