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A3" w:rsidRDefault="00063AA3" w:rsidP="00063AA3">
      <w:pPr>
        <w:pStyle w:val="1"/>
        <w:shd w:val="clear" w:color="auto" w:fill="FFFFFF"/>
        <w:spacing w:before="150" w:after="75" w:line="240" w:lineRule="atLeast"/>
        <w:ind w:right="195"/>
        <w:textAlignment w:val="baseline"/>
        <w:rPr>
          <w:rFonts w:ascii="Arial" w:hAnsi="Arial" w:cs="Arial"/>
          <w:b w:val="0"/>
          <w:bCs w:val="0"/>
          <w:caps/>
          <w:color w:val="E08020"/>
          <w:sz w:val="54"/>
          <w:szCs w:val="54"/>
        </w:rPr>
      </w:pPr>
      <w:r>
        <w:rPr>
          <w:rFonts w:ascii="Arial" w:hAnsi="Arial" w:cs="Arial"/>
          <w:b w:val="0"/>
          <w:bCs w:val="0"/>
          <w:caps/>
          <w:color w:val="E08020"/>
          <w:sz w:val="54"/>
          <w:szCs w:val="54"/>
        </w:rPr>
        <w:t>ВКЛАД «ДО ВОСТРЕБОВАНИЯ»</w:t>
      </w:r>
    </w:p>
    <w:p w:rsidR="00063AA3" w:rsidRDefault="00063AA3" w:rsidP="00063AA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 </w:t>
      </w:r>
    </w:p>
    <w:p w:rsidR="00063AA3" w:rsidRDefault="00063AA3" w:rsidP="00063AA3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Валюта вклада: </w:t>
      </w:r>
      <w:r>
        <w:rPr>
          <w:rFonts w:ascii="Tahoma" w:hAnsi="Tahoma" w:cs="Tahoma"/>
          <w:color w:val="606060"/>
          <w:sz w:val="18"/>
          <w:szCs w:val="18"/>
        </w:rPr>
        <w:t>Рубли РФ/ Доллары США/ Евро</w:t>
      </w:r>
    </w:p>
    <w:p w:rsidR="00063AA3" w:rsidRDefault="00063AA3" w:rsidP="00063AA3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Минимальная сумма вклада:</w:t>
      </w:r>
      <w:r>
        <w:rPr>
          <w:rFonts w:ascii="Tahoma" w:hAnsi="Tahoma" w:cs="Tahoma"/>
          <w:color w:val="606060"/>
          <w:sz w:val="18"/>
          <w:szCs w:val="18"/>
        </w:rPr>
        <w:t> 100 Рублей РФ/ 10 Доллары США/ 10 Евро</w:t>
      </w:r>
    </w:p>
    <w:p w:rsidR="00063AA3" w:rsidRDefault="00063AA3" w:rsidP="00063AA3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Процентная ставка: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0,01% годовых</w:t>
      </w:r>
    </w:p>
    <w:p w:rsidR="00063AA3" w:rsidRDefault="00063AA3" w:rsidP="00063AA3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Вклад пополняемый, пролонгируемый до отмены данного вида вклада</w:t>
      </w:r>
    </w:p>
    <w:p w:rsidR="00063AA3" w:rsidRDefault="00063AA3" w:rsidP="00063AA3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Выплата процентов ежемесячно путем причисления к сумме вклада</w:t>
      </w:r>
    </w:p>
    <w:p w:rsidR="00063AA3" w:rsidRDefault="00063AA3" w:rsidP="00063AA3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Возможно снятие средств со счета в течение всего срока действия договора без ограничений по сумме (до суммы неснижаемого остатка)</w:t>
      </w:r>
    </w:p>
    <w:p w:rsidR="00063AA3" w:rsidRDefault="00063AA3" w:rsidP="00063AA3">
      <w:pPr>
        <w:pStyle w:val="3"/>
        <w:spacing w:before="105" w:beforeAutospacing="0" w:after="150" w:afterAutospacing="0" w:line="270" w:lineRule="atLeast"/>
        <w:jc w:val="both"/>
        <w:textAlignment w:val="baseline"/>
        <w:rPr>
          <w:rFonts w:ascii="Arial" w:hAnsi="Arial" w:cs="Arial"/>
          <w:caps/>
          <w:color w:val="E08020"/>
        </w:rPr>
      </w:pPr>
      <w:r>
        <w:rPr>
          <w:rFonts w:ascii="Arial" w:hAnsi="Arial" w:cs="Arial"/>
          <w:caps/>
          <w:color w:val="E08020"/>
        </w:rPr>
        <w:t> </w:t>
      </w:r>
    </w:p>
    <w:p w:rsidR="00063AA3" w:rsidRDefault="00063AA3" w:rsidP="00063AA3">
      <w:pPr>
        <w:pStyle w:val="3"/>
        <w:spacing w:before="105" w:beforeAutospacing="0" w:after="150" w:afterAutospacing="0" w:line="270" w:lineRule="atLeast"/>
        <w:textAlignment w:val="baseline"/>
        <w:rPr>
          <w:rFonts w:ascii="Arial" w:hAnsi="Arial" w:cs="Arial"/>
          <w:caps/>
          <w:color w:val="E08020"/>
        </w:rPr>
      </w:pPr>
      <w:r>
        <w:rPr>
          <w:rFonts w:ascii="Arial" w:hAnsi="Arial" w:cs="Arial"/>
          <w:caps/>
          <w:color w:val="E08020"/>
        </w:rPr>
        <w:t>ПРОЦЕНТНЫЕ СТАВКИ ПО ВКЛАДУ В РУБЛЯХ</w:t>
      </w:r>
    </w:p>
    <w:p w:rsidR="00063AA3" w:rsidRDefault="00063AA3" w:rsidP="00063AA3">
      <w:pPr>
        <w:spacing w:line="270" w:lineRule="atLeast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 </w:t>
      </w:r>
    </w:p>
    <w:tbl>
      <w:tblPr>
        <w:tblW w:w="9060" w:type="dxa"/>
        <w:tblInd w:w="-21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421"/>
        <w:gridCol w:w="4639"/>
      </w:tblGrid>
      <w:tr w:rsidR="00063AA3" w:rsidTr="00063AA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bdr w:val="none" w:sz="0" w:space="0" w:color="auto" w:frame="1"/>
              </w:rPr>
              <w:t>Минимальная сумма вклада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bdr w:val="none" w:sz="0" w:space="0" w:color="auto" w:frame="1"/>
              </w:rPr>
              <w:t>Процентная ставка, % годовых</w:t>
            </w:r>
          </w:p>
        </w:tc>
      </w:tr>
      <w:tr w:rsidR="00063AA3" w:rsidTr="00063AA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</w:tbl>
    <w:p w:rsidR="00063AA3" w:rsidRDefault="00063AA3" w:rsidP="00063AA3">
      <w:pPr>
        <w:spacing w:line="270" w:lineRule="atLeast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 </w:t>
      </w:r>
    </w:p>
    <w:p w:rsidR="00063AA3" w:rsidRDefault="00063AA3" w:rsidP="00063AA3">
      <w:pPr>
        <w:pStyle w:val="3"/>
        <w:spacing w:before="0" w:beforeAutospacing="0" w:after="0" w:afterAutospacing="0" w:line="270" w:lineRule="atLeast"/>
        <w:textAlignment w:val="baseline"/>
        <w:rPr>
          <w:rFonts w:ascii="Arial" w:hAnsi="Arial" w:cs="Arial"/>
          <w:caps/>
          <w:color w:val="E08020"/>
        </w:rPr>
      </w:pPr>
      <w:r>
        <w:rPr>
          <w:rFonts w:ascii="Arial" w:hAnsi="Arial" w:cs="Arial"/>
          <w:caps/>
          <w:color w:val="E08020"/>
          <w:bdr w:val="none" w:sz="0" w:space="0" w:color="auto" w:frame="1"/>
        </w:rPr>
        <w:br/>
      </w:r>
    </w:p>
    <w:p w:rsidR="00063AA3" w:rsidRDefault="00063AA3" w:rsidP="00063AA3">
      <w:pPr>
        <w:pStyle w:val="3"/>
        <w:spacing w:before="0" w:beforeAutospacing="0" w:after="0" w:afterAutospacing="0" w:line="270" w:lineRule="atLeast"/>
        <w:textAlignment w:val="baseline"/>
        <w:rPr>
          <w:rFonts w:ascii="Arial" w:hAnsi="Arial" w:cs="Arial"/>
          <w:caps/>
          <w:color w:val="E08020"/>
        </w:rPr>
      </w:pPr>
      <w:r>
        <w:rPr>
          <w:rFonts w:ascii="Arial" w:hAnsi="Arial" w:cs="Arial"/>
          <w:caps/>
          <w:color w:val="E08020"/>
          <w:bdr w:val="none" w:sz="0" w:space="0" w:color="auto" w:frame="1"/>
        </w:rPr>
        <w:t>ПРОЦЕНТНЫЕ СТАВКИ ПО ВКЛАДУ В ДОЛЛАРАХ США</w:t>
      </w:r>
    </w:p>
    <w:p w:rsidR="00063AA3" w:rsidRDefault="00063AA3" w:rsidP="00063AA3">
      <w:pPr>
        <w:spacing w:line="270" w:lineRule="atLeast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 </w:t>
      </w:r>
    </w:p>
    <w:tbl>
      <w:tblPr>
        <w:tblW w:w="9060" w:type="dxa"/>
        <w:tblInd w:w="-21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421"/>
        <w:gridCol w:w="4639"/>
      </w:tblGrid>
      <w:tr w:rsidR="00063AA3" w:rsidTr="00063AA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bdr w:val="none" w:sz="0" w:space="0" w:color="auto" w:frame="1"/>
              </w:rPr>
              <w:t>Минимальная сумма вклада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bdr w:val="none" w:sz="0" w:space="0" w:color="auto" w:frame="1"/>
              </w:rPr>
              <w:t>Процентная ставка, % годовых</w:t>
            </w:r>
          </w:p>
        </w:tc>
      </w:tr>
      <w:tr w:rsidR="00063AA3" w:rsidTr="00063AA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</w:tbl>
    <w:p w:rsidR="00063AA3" w:rsidRDefault="00063AA3" w:rsidP="00063AA3">
      <w:pPr>
        <w:spacing w:line="270" w:lineRule="atLeast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 </w:t>
      </w:r>
    </w:p>
    <w:p w:rsidR="00063AA3" w:rsidRDefault="00063AA3" w:rsidP="00063AA3">
      <w:pPr>
        <w:pStyle w:val="3"/>
        <w:spacing w:before="105" w:beforeAutospacing="0" w:after="150" w:afterAutospacing="0" w:line="270" w:lineRule="atLeast"/>
        <w:textAlignment w:val="baseline"/>
        <w:rPr>
          <w:rFonts w:ascii="Arial" w:hAnsi="Arial" w:cs="Arial"/>
          <w:caps/>
          <w:color w:val="E08020"/>
        </w:rPr>
      </w:pPr>
      <w:r>
        <w:rPr>
          <w:rFonts w:ascii="Arial" w:hAnsi="Arial" w:cs="Arial"/>
          <w:caps/>
          <w:color w:val="E08020"/>
        </w:rPr>
        <w:t>ПРОЦЕНТНЫЕ СТАВКИ ПО ВКЛАДУ В ЕВРО</w:t>
      </w:r>
    </w:p>
    <w:p w:rsidR="00063AA3" w:rsidRDefault="00063AA3" w:rsidP="00063AA3">
      <w:pPr>
        <w:spacing w:line="270" w:lineRule="atLeast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 </w:t>
      </w:r>
    </w:p>
    <w:tbl>
      <w:tblPr>
        <w:tblW w:w="9060" w:type="dxa"/>
        <w:tblInd w:w="-21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421"/>
        <w:gridCol w:w="4639"/>
      </w:tblGrid>
      <w:tr w:rsidR="00063AA3" w:rsidTr="00063AA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bdr w:val="none" w:sz="0" w:space="0" w:color="auto" w:frame="1"/>
              </w:rPr>
              <w:t>Минимальная сумма вклада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bdr w:val="none" w:sz="0" w:space="0" w:color="auto" w:frame="1"/>
              </w:rPr>
              <w:t>Процентная ставка, % годовых</w:t>
            </w:r>
          </w:p>
        </w:tc>
      </w:tr>
      <w:tr w:rsidR="00063AA3" w:rsidTr="00063AA3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063AA3" w:rsidRDefault="00063AA3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</w:tbl>
    <w:p w:rsidR="00063AA3" w:rsidRDefault="00063AA3" w:rsidP="00063AA3">
      <w:pPr>
        <w:spacing w:line="270" w:lineRule="atLeast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 </w:t>
      </w:r>
    </w:p>
    <w:p w:rsidR="00063AA3" w:rsidRDefault="00063AA3" w:rsidP="00063AA3">
      <w:pPr>
        <w:pStyle w:val="a3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noProof/>
          <w:color w:val="606060"/>
          <w:sz w:val="18"/>
          <w:szCs w:val="18"/>
        </w:rPr>
        <w:lastRenderedPageBreak/>
        <w:drawing>
          <wp:inline distT="0" distB="0" distL="0" distR="0">
            <wp:extent cx="666750" cy="676275"/>
            <wp:effectExtent l="19050" t="0" r="0" b="0"/>
            <wp:docPr id="1" name="Рисунок 1" descr="http://www.jugra.ru/files/images/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gra.ru/files/images/__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Все вклады, размещенные в Банке, застрахованы в порядке, размерах и на условиях, установленных Федеральным законом. ПАО БАНК «ЮГРА» включен в реестр банков-участников системы обязательного страхования вкладов 16 декабря 2004 года под номером 320.</w:t>
      </w:r>
    </w:p>
    <w:p w:rsidR="00063AA3" w:rsidRDefault="00063AA3" w:rsidP="00063AA3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 </w:t>
      </w:r>
    </w:p>
    <w:p w:rsidR="003936A4" w:rsidRPr="00063AA3" w:rsidRDefault="00063AA3" w:rsidP="00063AA3"/>
    <w:sectPr w:rsidR="003936A4" w:rsidRPr="00063AA3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6F52"/>
    <w:multiLevelType w:val="multilevel"/>
    <w:tmpl w:val="B83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6D20"/>
    <w:multiLevelType w:val="multilevel"/>
    <w:tmpl w:val="4F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70083"/>
    <w:multiLevelType w:val="multilevel"/>
    <w:tmpl w:val="A5D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A55ED"/>
    <w:multiLevelType w:val="multilevel"/>
    <w:tmpl w:val="70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62E6"/>
    <w:multiLevelType w:val="multilevel"/>
    <w:tmpl w:val="B75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AE5889"/>
    <w:multiLevelType w:val="multilevel"/>
    <w:tmpl w:val="92C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36E72"/>
    <w:multiLevelType w:val="multilevel"/>
    <w:tmpl w:val="C1E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970AC"/>
    <w:multiLevelType w:val="multilevel"/>
    <w:tmpl w:val="6C7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0"/>
  </w:num>
  <w:num w:numId="5">
    <w:abstractNumId w:val="25"/>
  </w:num>
  <w:num w:numId="6">
    <w:abstractNumId w:val="12"/>
  </w:num>
  <w:num w:numId="7">
    <w:abstractNumId w:val="26"/>
  </w:num>
  <w:num w:numId="8">
    <w:abstractNumId w:val="22"/>
  </w:num>
  <w:num w:numId="9">
    <w:abstractNumId w:val="16"/>
  </w:num>
  <w:num w:numId="10">
    <w:abstractNumId w:val="20"/>
  </w:num>
  <w:num w:numId="11">
    <w:abstractNumId w:val="3"/>
  </w:num>
  <w:num w:numId="12">
    <w:abstractNumId w:val="5"/>
  </w:num>
  <w:num w:numId="13">
    <w:abstractNumId w:val="11"/>
  </w:num>
  <w:num w:numId="14">
    <w:abstractNumId w:val="23"/>
  </w:num>
  <w:num w:numId="15">
    <w:abstractNumId w:val="14"/>
  </w:num>
  <w:num w:numId="16">
    <w:abstractNumId w:val="24"/>
  </w:num>
  <w:num w:numId="17">
    <w:abstractNumId w:val="7"/>
  </w:num>
  <w:num w:numId="18">
    <w:abstractNumId w:val="9"/>
  </w:num>
  <w:num w:numId="19">
    <w:abstractNumId w:val="8"/>
  </w:num>
  <w:num w:numId="20">
    <w:abstractNumId w:val="18"/>
  </w:num>
  <w:num w:numId="21">
    <w:abstractNumId w:val="15"/>
  </w:num>
  <w:num w:numId="22">
    <w:abstractNumId w:val="4"/>
  </w:num>
  <w:num w:numId="23">
    <w:abstractNumId w:val="13"/>
  </w:num>
  <w:num w:numId="24">
    <w:abstractNumId w:val="1"/>
  </w:num>
  <w:num w:numId="25">
    <w:abstractNumId w:val="21"/>
  </w:num>
  <w:num w:numId="26">
    <w:abstractNumId w:val="6"/>
  </w:num>
  <w:num w:numId="27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C7C21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26D76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214</cp:revision>
  <dcterms:created xsi:type="dcterms:W3CDTF">2016-08-03T21:16:00Z</dcterms:created>
  <dcterms:modified xsi:type="dcterms:W3CDTF">2016-08-14T20:03:00Z</dcterms:modified>
</cp:coreProperties>
</file>