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D7" w:rsidRDefault="00750CD7" w:rsidP="00750CD7">
      <w:pPr>
        <w:pStyle w:val="2"/>
        <w:rPr>
          <w:sz w:val="20"/>
          <w:szCs w:val="20"/>
        </w:rPr>
      </w:pPr>
      <w:r>
        <w:rPr>
          <w:sz w:val="20"/>
          <w:szCs w:val="20"/>
        </w:rPr>
        <w:t>Статья 62. Обязанности лиц, принявших решение о ликвидации юридического лица</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50CD7" w:rsidRDefault="00750CD7" w:rsidP="00750CD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936A4" w:rsidRPr="00750CD7" w:rsidRDefault="00750CD7" w:rsidP="00750CD7"/>
    <w:sectPr w:rsidR="003936A4" w:rsidRPr="00750CD7"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43B3"/>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142</cp:revision>
  <dcterms:created xsi:type="dcterms:W3CDTF">2016-08-03T21:16:00Z</dcterms:created>
  <dcterms:modified xsi:type="dcterms:W3CDTF">2016-08-12T17:36:00Z</dcterms:modified>
</cp:coreProperties>
</file>