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186.1. Особенности банкротства негосударственных пенсионных фондов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Особенности банкротства финансовых организаций, установленные статьями 183.1 - 183.26 настоящего Федерального закона, распространяются на негосударственные пенсионные фонды с учетом положений статей 186.2 - 186.11, 187.2 - 187.12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Банкротство негосударственных пенсионных фондов, осуществляющих или осуществлявших 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статьями 187.1 - 187.12 настоящего Федерального закона. При этом положения статей 186.4 - 186.10 настоящего Федерального закона применяются к банкротству указанных фондов, если статьями 187.2 - 187.12 настоящего Федерального закона не установлены иные правила.</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186.2. Дополнительные основания для применения мер по предупреждению банкротства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Дополнительными основаниями для применения мер по предупреждению банкротства негосударственного пенсионного фонда являются: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установление увеличения актуарного дефицита по результатам ежегодного актуарного оценивания деятельности негосударственного пенсионного фонда по сравнению с предшествующим годом.</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186.3. Покрытие расходов временной администрации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Расходы временной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средств) этого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 </w:t>
      </w: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Для целей настоящего параграфа обязательства по негосударственному пенсионному обеспечению предусматривают:</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выплату выкупных сумм или их перевод в другие фонды;</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Временный управляющий определяет и отдельно учитывает в реестре заявленных требований кредиторов: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lastRenderedPageBreak/>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состав кредиторов, требования которых подлежат удовлетворению за счет средств пенсионных резервов, а также сумму кредиторской задолженности.</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3.1. Форма реестра требований кредиторов негосударственного пенсионного фонда устанавливается нормативным актом контрольного органа по согласованию с Агентством по страхованию вкладов.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Временный управляющий привлекает оценщика для определения рыночной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статьей 130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пенсионного обеспечения.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Последствия прекращения указанных договоров определяются в соответствии с настоящим Федеральным законом.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6. В течение трех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уведомляет в письменной форме вкладчиков и участников такого фонда о принятии арбитражным судом решения о признании негосударственного пенсионного фонда банкротом и об открытии конкурсного производства не позднее тридцати дней с даты принятия арбитражным судом указанного решения;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определяет обязательства по пенсионным договорам (в том числе обязательства по выплате назначенных негосударственных пенсий) по сведениям, имеющимся в негосударственном пенсионном фонде;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обязательств по пожизненным негосударственным пенсиям конкурсный управляющий привлекает актуария;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статьей 130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передачу обязанности по выплате пожизненных негосударственных пенсий и средств пенсионных резервов другому негосударственному пенсионному фонду в соответствии со статьей 186.9 настоящего Федерального закона.</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186.5. Особенности использования средств пенсионных резервов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lastRenderedPageBreak/>
        <w:t>1.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Выкупные суммы подлежат выплате вкладчикам, участникам негосударственного пенсионного фонда в соответствии с пенсионным договором.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Выкупные суммы могут быть переданы в качестве пенсионных взносов в другие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Выкупные суммы могут быть переданы в счет уплаты страховых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федеральным законом.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Порядок осуществления выплаты выкупной суммы или ее передачи в соответствующий негосударственный пенсионный фонд в соответствии с настоящей статьей устанавливается контрольным органом.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фонда, и в случае определения по итогам актуарного оценивания актуарного дефицита он покрывается за счет средств, предусмотренных пунктом 4 настоящей статьи (далее - выплатной фонд).</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5. Если 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кредиторов подлежат удовлетворению в порядке, установленном статьей 186.8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 </w:t>
      </w: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186.6. Счета негосударственного пенсионного фонда в ходе конкурсного производства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Конкурсный управляющий обязан использовать отдельные специальные банковские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Со специального банковского счета должника - негосударственного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статьей 186.5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lastRenderedPageBreak/>
        <w:t>4. С основного счета должника - негосударственного пенсионного фонда, на котором находятся средства, составляющие конкурсную массу негосударственного пенсионного фонда, осуществляются выплаты кредиторам в порядке очередности, установленном статьей 186.8 настоящего Федерального закона.</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186.7. Порядок удовлетворения требований кредиторов за счет средств пенсионных резервов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во вторую очередь - требования по выплате выкупной суммы участников негосударственного пенсионного фонда, в отношении которых наступила обязанность такого фонда по выплате негосударственной пенсии на определенный пенсионным договором срок;</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в третью очередь - требования вкладчиков и участников негосударственного пенсионного фонда - физических лиц;</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в четвертую очередь - требования вкладчиков негосударственного пенсионного фонда - юридических лиц;</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5) в пятую очередь - требования иных кредиторов, подлежащие удовлетворению за счет пенсионных резервов в соответствии с Федеральным законом от 7 мая 1998 года N 75-ФЗ "О негосударственных пенсионных фондах" (далее - Федеральный закон "О негосударственных пенсионных фондах").</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Если сумма средств пенсионных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настоящей статьей, подлежат включению в конкурсную массу.</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186.8. Особенности удовлетворения требований кредиторов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 составе требований кредиторов первой очереди подлежат удовлетворению:</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требования по выплате выкупной суммы участников негосударственного пенсионного фонда, в отношении которых наступила обязанность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Требования кредиторов третьей очереди подлежат удовлетворению в следующем порядке: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lastRenderedPageBreak/>
        <w:t>1)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во вторую очередь - не удовлетворенные за счет средств пенсионных резервов требования по выплате выкупной суммы вкладчиков негосударственного пенсионного фонда - юридических лиц;</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в третью очередь - требования иных кредиторов.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В ходе конкурсного производства негосударственного пенсионного фонда погашение требований кредиторов путем предоставления отступного допускается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Погашение требований кредиторов, в счет которых кредиторам в соответствии с соглашением, заключенным между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кредиторами заявлений о согласии на погашение своих требований путем предоставления отступного.</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негосударственного пенсионного фонда отступного.</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5. Указанное в пункте 4 настоящей статьи предложение должно содержать:</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наименование, место нахождения негосударственного пенсионного фонда и иные его реквизиты;</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наименование, определяемую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порядок ознакомления кредиторов с таким имуществом;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сведения о конкурсном управляющем, включающие в себя фамилию, имя, отчество и адрес конкурсного управляющего для направления ему корреспонденции;</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 xml:space="preserve">5) срок направления кредиторами негосударственного пенсионного фонда заявлений о согласии на погашение своих требований путем предоставления отступного, который не может быть менее чем тридцать дней со дня направления конкурсным управляющим предложения о погашении </w:t>
      </w:r>
      <w:r>
        <w:rPr>
          <w:rFonts w:ascii="Verdana" w:hAnsi="Verdana"/>
          <w:color w:val="000000"/>
          <w:sz w:val="18"/>
          <w:szCs w:val="18"/>
        </w:rPr>
        <w:lastRenderedPageBreak/>
        <w:t>требований кредиторов негосударственного пенсионного фонда путем предоставления отступного или со дня включения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6. Имущество негосударственного пенсионного фонда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Кредитор, не направивший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7. Имущество негосударственного пенсионного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Федеральным законом, пропорционально размерам погашаемых требований данных кредиторов путем предоставления отступного.</w:t>
      </w:r>
    </w:p>
    <w:p w:rsidR="00F2202F" w:rsidRDefault="00F2202F" w:rsidP="00F2202F">
      <w:pPr>
        <w:pStyle w:val="a3"/>
        <w:jc w:val="both"/>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186.9. Передача обязанности по выплате негосударственной пенсии</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Порядок и условия передачи указанной обязанности, а также требования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При передаче обязанности по выплате пожизненных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 кредиторов о передаче указанной обязанности другому негосударственному пенсионному фонду.</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Решение, предусмотренное пунктом 1 настоящей статьи, принимается: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банкротства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конкурсным управляющим по согласованию с контрольным органом - в ходе конкурсного производства.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Решение о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подлежит опубликованию в порядке, установленном статьей 28 настоящего Федерального закона.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Абзац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lastRenderedPageBreak/>
        <w:t>В указанном решении должны быть определены условия передачи другому негосударственному пенсионному фонду обязанности по выплате пожизненных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 данного фонда пожизненной негосударственной пенсии в случае их изменения.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4. В случае достаточности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В случае, если средств, указанных в статье 186.7 настоящего Федерального закона, а также средств, направленных на удовлетворение требований, установленных подпунктом 1 пункта 1 статьи 186.8 настоящего Федерального закона, недостаточно для формирования выплатного фонда, обеспечивающего исполнение обязанности негосударственного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переданы обязательства по данным договорам, пропорционально уменьшаются.</w:t>
      </w:r>
    </w:p>
    <w:p w:rsidR="00F2202F" w:rsidRDefault="00F2202F" w:rsidP="00F2202F">
      <w:pPr>
        <w:pStyle w:val="a3"/>
        <w:jc w:val="center"/>
        <w:rPr>
          <w:rFonts w:ascii="Verdana" w:hAnsi="Verdana"/>
          <w:color w:val="000000"/>
          <w:sz w:val="18"/>
          <w:szCs w:val="18"/>
        </w:rPr>
      </w:pP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186.10. Особенности продажи имущества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1. Все операции по продаже имущества негосударственного пенсионного фонда, в которое размещены средства пенсионных резервов, подлежат учету специализированным депозитарием.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Порядок проведения специализированным депозитарием учетных операций устанавливается контрольным органом.</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3. Утратил силу с 1 января 2014 года. - Федеральный закон от 28.12.2013 N 410-ФЗ.</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 </w:t>
      </w:r>
    </w:p>
    <w:p w:rsidR="00F2202F" w:rsidRDefault="00F2202F" w:rsidP="00F2202F">
      <w:pPr>
        <w:pStyle w:val="a3"/>
        <w:jc w:val="center"/>
        <w:rPr>
          <w:rFonts w:ascii="Verdana" w:hAnsi="Verdana"/>
          <w:color w:val="000000"/>
          <w:sz w:val="18"/>
          <w:szCs w:val="18"/>
        </w:rPr>
      </w:pPr>
      <w:r>
        <w:rPr>
          <w:rStyle w:val="a4"/>
          <w:rFonts w:ascii="Verdana" w:hAnsi="Verdana"/>
          <w:color w:val="008000"/>
          <w:sz w:val="18"/>
          <w:szCs w:val="18"/>
        </w:rPr>
        <w:t>Статья 186.11. Ограничение продажи предприятия и замещения активов негосударственного пенсионного фонда</w:t>
      </w:r>
    </w:p>
    <w:p w:rsidR="00F2202F" w:rsidRDefault="00F2202F" w:rsidP="00F2202F">
      <w:pPr>
        <w:pStyle w:val="a3"/>
        <w:jc w:val="both"/>
        <w:rPr>
          <w:rFonts w:ascii="Verdana" w:hAnsi="Verdana"/>
          <w:color w:val="000000"/>
          <w:sz w:val="18"/>
          <w:szCs w:val="18"/>
        </w:rPr>
      </w:pPr>
      <w:r>
        <w:rPr>
          <w:rFonts w:ascii="Verdana" w:hAnsi="Verdana"/>
          <w:color w:val="000000"/>
          <w:sz w:val="18"/>
          <w:szCs w:val="18"/>
        </w:rPr>
        <w:t>Предусмотренные настоящим Федеральным законом продажа предприятия и замещение активов негосударственного пенсионного фонда не допускаются.</w:t>
      </w:r>
    </w:p>
    <w:p w:rsidR="003936A4" w:rsidRDefault="00F2202F" w:rsidP="00F2202F"/>
    <w:sectPr w:rsidR="003936A4" w:rsidSect="00650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202F"/>
    <w:rsid w:val="0014727D"/>
    <w:rsid w:val="006500C1"/>
    <w:rsid w:val="00F2202F"/>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0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2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202F"/>
    <w:rPr>
      <w:b/>
      <w:bCs/>
    </w:rPr>
  </w:style>
</w:styles>
</file>

<file path=word/webSettings.xml><?xml version="1.0" encoding="utf-8"?>
<w:webSettings xmlns:r="http://schemas.openxmlformats.org/officeDocument/2006/relationships" xmlns:w="http://schemas.openxmlformats.org/wordprocessingml/2006/main">
  <w:divs>
    <w:div w:id="12040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3291</Words>
  <Characters>18765</Characters>
  <Application>Microsoft Office Word</Application>
  <DocSecurity>0</DocSecurity>
  <Lines>156</Lines>
  <Paragraphs>44</Paragraphs>
  <ScaleCrop>false</ScaleCrop>
  <Company>Melkosoft</Company>
  <LinksUpToDate>false</LinksUpToDate>
  <CharactersWithSpaces>22012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2016-07-21T16:01:00Z</dcterms:created>
  <dcterms:modified xsi:type="dcterms:W3CDTF">2016-07-21T16:01:00Z</dcterms:modified>
</cp:coreProperties>
</file>