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5F" w:rsidRDefault="00724C5F" w:rsidP="00724C5F">
      <w:pPr>
        <w:pStyle w:val="1"/>
        <w:spacing w:before="150" w:after="150"/>
        <w:ind w:left="150" w:right="150"/>
        <w:rPr>
          <w:rFonts w:ascii="Arial" w:hAnsi="Arial" w:cs="Arial"/>
          <w:b w:val="0"/>
          <w:bCs w:val="0"/>
          <w:color w:val="494949"/>
          <w:sz w:val="30"/>
          <w:szCs w:val="30"/>
        </w:rPr>
      </w:pPr>
      <w:r>
        <w:rPr>
          <w:rFonts w:ascii="Arial" w:hAnsi="Arial" w:cs="Arial"/>
          <w:b w:val="0"/>
          <w:bCs w:val="0"/>
          <w:color w:val="494949"/>
          <w:sz w:val="30"/>
          <w:szCs w:val="30"/>
        </w:rPr>
        <w:t>Статья 75. Окончание наблюдения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bookmarkStart w:id="0" w:name="4ba95"/>
      <w:bookmarkStart w:id="1" w:name="f894d"/>
      <w:bookmarkStart w:id="2" w:name="0bb63"/>
      <w:bookmarkStart w:id="3" w:name="d761c"/>
      <w:bookmarkStart w:id="4" w:name="3e640"/>
      <w:bookmarkStart w:id="5" w:name="12e53"/>
      <w:bookmarkStart w:id="6" w:name="91ff3"/>
      <w:bookmarkStart w:id="7" w:name="7f085"/>
      <w:bookmarkStart w:id="8" w:name="d9a52"/>
      <w:bookmarkStart w:id="9" w:name="19098"/>
      <w:bookmarkStart w:id="10" w:name="16440"/>
      <w:bookmarkStart w:id="11" w:name="68568"/>
      <w:bookmarkStart w:id="12" w:name="d1344"/>
      <w:bookmarkStart w:id="13" w:name="cdccb"/>
      <w:bookmarkStart w:id="14" w:name="9b3c5"/>
      <w:bookmarkStart w:id="15" w:name="1f8a7"/>
      <w:bookmarkStart w:id="16" w:name="40231"/>
      <w:bookmarkStart w:id="17" w:name="1879b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hAnsi="Arial" w:cs="Arial"/>
          <w:color w:val="494949"/>
          <w:sz w:val="18"/>
          <w:szCs w:val="18"/>
        </w:rPr>
        <w:t>1. В случае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,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если иное не установлено настоящей статьей, арбитражный суд на основании решения первого собрания кредиторов выносит определение о введении финансового оздоровления или внешнего управления, либо принимает решение о признании должника банкротом и об открытии конкурсного производства, либо утверждает мировое соглашение и прекращает производство по делу о банкротстве.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2. В случае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,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если первым собранием кредиторов не принято решение о применении одной из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18" w:name="bf80d"/>
      <w:bookmarkEnd w:id="18"/>
      <w:r>
        <w:rPr>
          <w:rFonts w:ascii="Arial" w:hAnsi="Arial" w:cs="Arial"/>
          <w:color w:val="494949"/>
          <w:sz w:val="18"/>
          <w:szCs w:val="18"/>
        </w:rPr>
        <w:t>процедур, применяемых в деле о банкротстве, арбитражный суд откладывает рассмотрение дела в пределах срока, установленного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hyperlink r:id="rId5" w:anchor="l452" w:tgtFrame="_self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статьей 51</w:t>
        </w:r>
      </w:hyperlink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t>настоящего Федерального закона, и обязывает кредиторов принять соответствующее решение к установленному арбитражным судом сроку.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(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в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ред. Федерального закона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hyperlink r:id="rId6" w:anchor="dd3a4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от 30.12.2008 N 296-ФЗ</w:t>
        </w:r>
      </w:hyperlink>
      <w:r>
        <w:rPr>
          <w:rFonts w:ascii="Arial" w:hAnsi="Arial" w:cs="Arial"/>
          <w:color w:val="494949"/>
          <w:sz w:val="18"/>
          <w:szCs w:val="18"/>
        </w:rPr>
        <w:t>)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При отсутствии возможности отложить рассмотрение дела в пределах срока, установленного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hyperlink r:id="rId7" w:anchor="l452" w:tgtFrame="_self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статьей 51</w:t>
        </w:r>
      </w:hyperlink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t>настоящего Федерального закона, арбитражный суд: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bookmarkStart w:id="19" w:name="3cc29"/>
      <w:bookmarkEnd w:id="19"/>
      <w:proofErr w:type="gramStart"/>
      <w:r>
        <w:rPr>
          <w:rFonts w:ascii="Arial" w:hAnsi="Arial" w:cs="Arial"/>
          <w:color w:val="494949"/>
          <w:sz w:val="18"/>
          <w:szCs w:val="18"/>
        </w:rPr>
        <w:t>выносит определение о введении финансового оздоровления, если имеется ходатайство учредителей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0" w:name="e640e"/>
      <w:bookmarkEnd w:id="20"/>
      <w:r>
        <w:rPr>
          <w:rFonts w:ascii="Arial" w:hAnsi="Arial" w:cs="Arial"/>
          <w:color w:val="494949"/>
          <w:sz w:val="18"/>
          <w:szCs w:val="18"/>
        </w:rPr>
        <w:t>(участников) должника, собственника имущества должника - унитарного предприятия, уполномоченного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1" w:name="8b9be"/>
      <w:bookmarkEnd w:id="21"/>
      <w:r>
        <w:rPr>
          <w:rFonts w:ascii="Arial" w:hAnsi="Arial" w:cs="Arial"/>
          <w:color w:val="494949"/>
          <w:sz w:val="18"/>
          <w:szCs w:val="18"/>
        </w:rPr>
        <w:t>государственного органа, а также третьего лица или третьих лиц, при условии предоставления достаточного обеспечения исполнения обязательств должника в соответствии с графиком погашения задолженности, размер которого должен превышать размер обязательств должника, включенных в реестр требований кредиторов на дату проведения первого собрания кредиторов, не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менее чем на двадцать процентов. При этом график погашения задолженности должен предусматривать начало погашения задолженности не позднее чем через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2" w:name="7749f"/>
      <w:bookmarkEnd w:id="22"/>
      <w:r>
        <w:rPr>
          <w:rFonts w:ascii="Arial" w:hAnsi="Arial" w:cs="Arial"/>
          <w:color w:val="494949"/>
          <w:sz w:val="18"/>
          <w:szCs w:val="18"/>
        </w:rPr>
        <w:t>месяц после вынесения арбитражным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3" w:name="5fdda"/>
      <w:bookmarkEnd w:id="23"/>
      <w:r>
        <w:rPr>
          <w:rFonts w:ascii="Arial" w:hAnsi="Arial" w:cs="Arial"/>
          <w:color w:val="494949"/>
          <w:sz w:val="18"/>
          <w:szCs w:val="18"/>
        </w:rPr>
        <w:t>судом определения о введении финансового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4" w:name="5c7d9"/>
      <w:bookmarkEnd w:id="24"/>
      <w:r>
        <w:rPr>
          <w:rFonts w:ascii="Arial" w:hAnsi="Arial" w:cs="Arial"/>
          <w:color w:val="494949"/>
          <w:sz w:val="18"/>
          <w:szCs w:val="18"/>
        </w:rPr>
        <w:t xml:space="preserve">оздоровления и погашение требований кредиторов ежемесячно, пропорционально, равными долями в течение года 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с даты начала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удовлетворения требований кредиторов;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(в ред. Федерального закона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hyperlink r:id="rId8" w:anchor="dd3a4" w:history="1">
        <w:r>
          <w:rPr>
            <w:rStyle w:val="a3"/>
            <w:rFonts w:ascii="Arial" w:hAnsi="Arial" w:cs="Arial"/>
            <w:color w:val="257DC7"/>
            <w:sz w:val="18"/>
            <w:szCs w:val="18"/>
          </w:rPr>
          <w:t>от 30.12.2008 N 296-ФЗ</w:t>
        </w:r>
      </w:hyperlink>
      <w:r>
        <w:rPr>
          <w:rFonts w:ascii="Arial" w:hAnsi="Arial" w:cs="Arial"/>
          <w:color w:val="494949"/>
          <w:sz w:val="18"/>
          <w:szCs w:val="18"/>
        </w:rPr>
        <w:t>)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при отсутствии оснований для введения финансового оздоровления, предусмотренных настоящей статьей, выносит определение о введении внешнего управления, если у арбитражного суда есть достаточные основания полагать, что платежеспособность должника может быть восстановлена;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bookmarkStart w:id="25" w:name="66151"/>
      <w:bookmarkEnd w:id="25"/>
      <w:r>
        <w:rPr>
          <w:rFonts w:ascii="Arial" w:hAnsi="Arial" w:cs="Arial"/>
          <w:color w:val="494949"/>
          <w:sz w:val="18"/>
          <w:szCs w:val="18"/>
        </w:rPr>
        <w:t>при наличии признаков банкротства, установленных настоящим Федеральным законом, 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6" w:name="5f806"/>
      <w:bookmarkEnd w:id="26"/>
      <w:r>
        <w:rPr>
          <w:rFonts w:ascii="Arial" w:hAnsi="Arial" w:cs="Arial"/>
          <w:color w:val="494949"/>
          <w:sz w:val="18"/>
          <w:szCs w:val="18"/>
        </w:rPr>
        <w:t>при отсутствии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7" w:name="0128d"/>
      <w:bookmarkEnd w:id="27"/>
      <w:r>
        <w:rPr>
          <w:rFonts w:ascii="Arial" w:hAnsi="Arial" w:cs="Arial"/>
          <w:color w:val="494949"/>
          <w:sz w:val="18"/>
          <w:szCs w:val="18"/>
        </w:rPr>
        <w:t>оснований для введения финансового оздоровления и внешнего управления, предусмотренных настоящей статьей, принимает решение о признании должника банкротом и об открытии конкурсного производства.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3. В случае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,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производства, арбитражный суд может вынести определение о введении финансового оздоровления при условии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8" w:name="313ef"/>
      <w:bookmarkEnd w:id="28"/>
      <w:r>
        <w:rPr>
          <w:rFonts w:ascii="Arial" w:hAnsi="Arial" w:cs="Arial"/>
          <w:color w:val="494949"/>
          <w:sz w:val="18"/>
          <w:szCs w:val="18"/>
        </w:rPr>
        <w:t>предоставления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29" w:name="45304"/>
      <w:bookmarkEnd w:id="29"/>
      <w:r>
        <w:rPr>
          <w:rFonts w:ascii="Arial" w:hAnsi="Arial" w:cs="Arial"/>
          <w:color w:val="494949"/>
          <w:sz w:val="18"/>
          <w:szCs w:val="18"/>
        </w:rPr>
        <w:t>ходатайства учредителей (участников) должника, собственника имущества должника - унитарного предприятия, уполномоченного государственного органа,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задолженности. Сумма, на которую выдана банковская гарантия, должна превышать размер обязательств должника, включенных в реестр требований кредиторов на дату проведения первого собрания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0" w:name="2b0d9"/>
      <w:bookmarkEnd w:id="30"/>
      <w:r>
        <w:rPr>
          <w:rFonts w:ascii="Arial" w:hAnsi="Arial" w:cs="Arial"/>
          <w:color w:val="494949"/>
          <w:sz w:val="18"/>
          <w:szCs w:val="18"/>
        </w:rPr>
        <w:t>кредиторов, не менее чем на двадцать процентов. При этом график погашения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1" w:name="7783c"/>
      <w:bookmarkEnd w:id="31"/>
      <w:r>
        <w:rPr>
          <w:rFonts w:ascii="Arial" w:hAnsi="Arial" w:cs="Arial"/>
          <w:color w:val="494949"/>
          <w:sz w:val="18"/>
          <w:szCs w:val="18"/>
        </w:rPr>
        <w:t xml:space="preserve">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ежемесячно, пропорционально, равными долями в течение года 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с даты начала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удовлетворения требований кредиторов.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proofErr w:type="gramStart"/>
      <w:r>
        <w:rPr>
          <w:rFonts w:ascii="Arial" w:hAnsi="Arial" w:cs="Arial"/>
          <w:color w:val="494949"/>
          <w:sz w:val="18"/>
          <w:szCs w:val="18"/>
        </w:rPr>
        <w:t>С даты введения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финансового оздоровления, внешнего управления, признания арбитражным судом должника банкротом и открытия конкурсного производства или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2" w:name="7e7b0"/>
      <w:bookmarkEnd w:id="32"/>
      <w:r>
        <w:rPr>
          <w:rFonts w:ascii="Arial" w:hAnsi="Arial" w:cs="Arial"/>
          <w:color w:val="494949"/>
          <w:sz w:val="18"/>
          <w:szCs w:val="18"/>
        </w:rPr>
        <w:t>утверждения мирового соглашения наблюдение прекращается.</w:t>
      </w:r>
    </w:p>
    <w:p w:rsidR="00724C5F" w:rsidRDefault="00724C5F" w:rsidP="00724C5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bookmarkStart w:id="33" w:name="84550"/>
      <w:bookmarkEnd w:id="33"/>
      <w:r>
        <w:rPr>
          <w:rFonts w:ascii="Arial" w:hAnsi="Arial" w:cs="Arial"/>
          <w:color w:val="494949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,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если административный, внешний или конкурсный управляющий не был утвержден одновременно с введением соответствующей процедуры,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организации, из числа членов которой должен быть утвержден административный, внешний или конкурсный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4" w:name="c2bc7"/>
      <w:bookmarkEnd w:id="34"/>
      <w:r>
        <w:rPr>
          <w:rFonts w:ascii="Arial" w:hAnsi="Arial" w:cs="Arial"/>
          <w:color w:val="494949"/>
          <w:sz w:val="18"/>
          <w:szCs w:val="18"/>
        </w:rPr>
        <w:t xml:space="preserve">управляющий, и о </w:t>
      </w:r>
      <w:proofErr w:type="gramStart"/>
      <w:r>
        <w:rPr>
          <w:rFonts w:ascii="Arial" w:hAnsi="Arial" w:cs="Arial"/>
          <w:color w:val="494949"/>
          <w:sz w:val="18"/>
          <w:szCs w:val="18"/>
        </w:rPr>
        <w:t>требованиях</w:t>
      </w:r>
      <w:proofErr w:type="gramEnd"/>
      <w:r>
        <w:rPr>
          <w:rFonts w:ascii="Arial" w:hAnsi="Arial" w:cs="Arial"/>
          <w:color w:val="494949"/>
          <w:sz w:val="18"/>
          <w:szCs w:val="18"/>
        </w:rPr>
        <w:t xml:space="preserve"> к кандидатуре такого управляющего.</w:t>
      </w:r>
    </w:p>
    <w:p w:rsidR="003936A4" w:rsidRPr="00724C5F" w:rsidRDefault="00724C5F" w:rsidP="00724C5F"/>
    <w:sectPr w:rsidR="003936A4" w:rsidRPr="00724C5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AD2"/>
    <w:rsid w:val="000B523A"/>
    <w:rsid w:val="00142D6E"/>
    <w:rsid w:val="00144010"/>
    <w:rsid w:val="0014727D"/>
    <w:rsid w:val="001606DE"/>
    <w:rsid w:val="001B2CBE"/>
    <w:rsid w:val="002350AC"/>
    <w:rsid w:val="002F2A90"/>
    <w:rsid w:val="003E62B9"/>
    <w:rsid w:val="005124A1"/>
    <w:rsid w:val="006312B3"/>
    <w:rsid w:val="006B37FC"/>
    <w:rsid w:val="00712A1A"/>
    <w:rsid w:val="00724C5F"/>
    <w:rsid w:val="007460FD"/>
    <w:rsid w:val="007671A4"/>
    <w:rsid w:val="007E3256"/>
    <w:rsid w:val="00836AD2"/>
    <w:rsid w:val="00982576"/>
    <w:rsid w:val="0099647B"/>
    <w:rsid w:val="00B25B39"/>
    <w:rsid w:val="00B67AE8"/>
    <w:rsid w:val="00B91B3C"/>
    <w:rsid w:val="00B94798"/>
    <w:rsid w:val="00E8593F"/>
    <w:rsid w:val="00F14F8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296-fz-ot-2010-07-27-o-vnes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o-bankrotstve/statja-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zakony/296-fz-ot-2010-07-27-o-vnesenii" TargetMode="External"/><Relationship Id="rId5" Type="http://schemas.openxmlformats.org/officeDocument/2006/relationships/hyperlink" Target="http://www.zakonprost.ru/zakony/o-bankrotstve/statja-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626</Words>
  <Characters>4236</Characters>
  <Application>Microsoft Office Word</Application>
  <DocSecurity>0</DocSecurity>
  <Lines>83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2016-07-24T12:02:00Z</dcterms:created>
  <dcterms:modified xsi:type="dcterms:W3CDTF">2016-07-24T18:48:00Z</dcterms:modified>
</cp:coreProperties>
</file>