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A1" w:rsidRDefault="005124A1" w:rsidP="005124A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Лицо, которое знало или должно было знать об основаниях недействительности </w:t>
      </w:r>
      <w:proofErr w:type="spellStart"/>
      <w:r>
        <w:rPr>
          <w:rFonts w:ascii="Tahoma" w:hAnsi="Tahoma" w:cs="Tahoma"/>
          <w:color w:val="000000"/>
        </w:rPr>
        <w:t>оспоримой</w:t>
      </w:r>
      <w:proofErr w:type="spellEnd"/>
      <w:r>
        <w:rPr>
          <w:rFonts w:ascii="Tahoma" w:hAnsi="Tahoma" w:cs="Tahoma"/>
          <w:color w:val="000000"/>
        </w:rPr>
        <w:t xml:space="preserve"> сделки, после признания этой сделки недействительной не считается действовавшим добросовестно. </w:t>
      </w:r>
    </w:p>
    <w:p w:rsidR="005124A1" w:rsidRDefault="005124A1" w:rsidP="005124A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2. </w:t>
      </w:r>
      <w:proofErr w:type="gramStart"/>
      <w:r>
        <w:rPr>
          <w:rFonts w:ascii="Tahoma" w:hAnsi="Tahoma" w:cs="Tahoma"/>
          <w:color w:val="000000"/>
        </w:rPr>
        <w:t xml:space="preserve">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стоимость, если иные последствия недействительности сделки не предусмотрены законом. </w:t>
      </w:r>
      <w:proofErr w:type="gramEnd"/>
    </w:p>
    <w:p w:rsidR="005124A1" w:rsidRDefault="005124A1" w:rsidP="005124A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 Если из существа </w:t>
      </w:r>
      <w:proofErr w:type="spellStart"/>
      <w:r>
        <w:rPr>
          <w:rFonts w:ascii="Tahoma" w:hAnsi="Tahoma" w:cs="Tahoma"/>
          <w:color w:val="000000"/>
        </w:rPr>
        <w:t>оспоримой</w:t>
      </w:r>
      <w:proofErr w:type="spellEnd"/>
      <w:r>
        <w:rPr>
          <w:rFonts w:ascii="Tahoma" w:hAnsi="Tahoma" w:cs="Tahoma"/>
          <w:color w:val="000000"/>
        </w:rPr>
        <w:t xml:space="preserve"> сделки вытекает, что она может быть лишь прекращена на будущее время, суд, признавая сделку недействительной, прекращает ее действие на будущее время. 4. Суд вправе не применять последствия недействительности сделки (пункт 2 настоящей статьи), если их применение будет противоречить основам правопорядка или нравственности. </w:t>
      </w:r>
    </w:p>
    <w:p w:rsidR="005124A1" w:rsidRDefault="005124A1" w:rsidP="005124A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Комментарий к статье 167 Гражданского Кодекса РФ </w:t>
      </w:r>
    </w:p>
    <w:p w:rsidR="005124A1" w:rsidRDefault="005124A1" w:rsidP="005124A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 Недействительная сделка не порождает юридических последствий, достижения которых добивались совершившие ее стороны, а влечет последствия ее недействительности, которые установлены законом и для участников недействительной сделки по общему правилу неблагоприятны. При этом недействительность сделки, если к тому имеются надлежащие правовые основания, по общему правилу наступает с момента ее совершения. Однако из этих общих правил ГК допускает исключения. Согласно п. 2 ст. 172 ничтожная сделка </w:t>
      </w:r>
      <w:proofErr w:type="gramStart"/>
      <w:r>
        <w:rPr>
          <w:rFonts w:ascii="Tahoma" w:hAnsi="Tahoma" w:cs="Tahoma"/>
          <w:color w:val="000000"/>
        </w:rPr>
        <w:t>малолетнего</w:t>
      </w:r>
      <w:proofErr w:type="gramEnd"/>
      <w:r>
        <w:rPr>
          <w:rFonts w:ascii="Tahoma" w:hAnsi="Tahoma" w:cs="Tahoma"/>
          <w:color w:val="000000"/>
        </w:rPr>
        <w:t xml:space="preserve"> в его интересах может быть признана судом действительной. Кроме того, </w:t>
      </w:r>
      <w:proofErr w:type="spellStart"/>
      <w:r>
        <w:rPr>
          <w:rFonts w:ascii="Tahoma" w:hAnsi="Tahoma" w:cs="Tahoma"/>
          <w:color w:val="000000"/>
        </w:rPr>
        <w:t>оспоримая</w:t>
      </w:r>
      <w:proofErr w:type="spellEnd"/>
      <w:r>
        <w:rPr>
          <w:rFonts w:ascii="Tahoma" w:hAnsi="Tahoma" w:cs="Tahoma"/>
          <w:color w:val="000000"/>
        </w:rPr>
        <w:t xml:space="preserve"> сделка может быть признана судом недействительной не с момента ее совершения, а на будущее (см. п. 6 наст</w:t>
      </w:r>
      <w:proofErr w:type="gramStart"/>
      <w:r>
        <w:rPr>
          <w:rFonts w:ascii="Tahoma" w:hAnsi="Tahoma" w:cs="Tahoma"/>
          <w:color w:val="000000"/>
        </w:rPr>
        <w:t>.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</w:rPr>
        <w:t>к</w:t>
      </w:r>
      <w:proofErr w:type="gramEnd"/>
      <w:r>
        <w:rPr>
          <w:rFonts w:ascii="Tahoma" w:hAnsi="Tahoma" w:cs="Tahoma"/>
          <w:color w:val="000000"/>
        </w:rPr>
        <w:t>оммент</w:t>
      </w:r>
      <w:proofErr w:type="spellEnd"/>
      <w:r>
        <w:rPr>
          <w:rFonts w:ascii="Tahoma" w:hAnsi="Tahoma" w:cs="Tahoma"/>
          <w:color w:val="000000"/>
        </w:rPr>
        <w:t xml:space="preserve">.). </w:t>
      </w:r>
    </w:p>
    <w:p w:rsidR="005124A1" w:rsidRDefault="005124A1" w:rsidP="005124A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2. Общим последствием недействительности сделки, относящимся как к </w:t>
      </w:r>
      <w:proofErr w:type="spellStart"/>
      <w:r>
        <w:rPr>
          <w:rFonts w:ascii="Tahoma" w:hAnsi="Tahoma" w:cs="Tahoma"/>
          <w:color w:val="000000"/>
        </w:rPr>
        <w:t>оспоримым</w:t>
      </w:r>
      <w:proofErr w:type="spellEnd"/>
      <w:r>
        <w:rPr>
          <w:rFonts w:ascii="Tahoma" w:hAnsi="Tahoma" w:cs="Tahoma"/>
          <w:color w:val="000000"/>
        </w:rPr>
        <w:t>, так и к ничтожным сделкам, является согласно п. 2 возврат каждой из сторон всего полученного по сделке, именуемый взаимной реституцией. При невозможности возврата полученного возмещается его стоимость в деньгах.</w:t>
      </w:r>
      <w:r>
        <w:rPr>
          <w:rFonts w:ascii="Tahoma" w:hAnsi="Tahoma" w:cs="Tahoma"/>
          <w:color w:val="000000"/>
        </w:rPr>
        <w:br/>
        <w:t xml:space="preserve">При возмещении стоимости могут возникать два вопроса: как она </w:t>
      </w:r>
      <w:proofErr w:type="gramStart"/>
      <w:r>
        <w:rPr>
          <w:rFonts w:ascii="Tahoma" w:hAnsi="Tahoma" w:cs="Tahoma"/>
          <w:color w:val="000000"/>
        </w:rPr>
        <w:t>должна</w:t>
      </w:r>
      <w:proofErr w:type="gramEnd"/>
      <w:r>
        <w:rPr>
          <w:rFonts w:ascii="Tahoma" w:hAnsi="Tahoma" w:cs="Tahoma"/>
          <w:color w:val="000000"/>
        </w:rPr>
        <w:t xml:space="preserve"> определяться и на </w:t>
      </w:r>
      <w:proofErr w:type="gramStart"/>
      <w:r>
        <w:rPr>
          <w:rFonts w:ascii="Tahoma" w:hAnsi="Tahoma" w:cs="Tahoma"/>
          <w:color w:val="000000"/>
        </w:rPr>
        <w:t>какой</w:t>
      </w:r>
      <w:proofErr w:type="gramEnd"/>
      <w:r>
        <w:rPr>
          <w:rFonts w:ascii="Tahoma" w:hAnsi="Tahoma" w:cs="Tahoma"/>
          <w:color w:val="000000"/>
        </w:rPr>
        <w:t xml:space="preserve"> момент. В случае спора между сторонами эти вопросы следует решать по правилам ГК о цене договора (п. 3 ст. 424) и дате определения возмещаемых убытков (п. 3 ст. 393), как нормах, которые могут использоваться в порядке аналогии закона. </w:t>
      </w:r>
    </w:p>
    <w:p w:rsidR="003936A4" w:rsidRPr="005124A1" w:rsidRDefault="005124A1" w:rsidP="005124A1">
      <w:r>
        <w:rPr>
          <w:rFonts w:ascii="Tahoma" w:hAnsi="Tahoma" w:cs="Tahoma"/>
          <w:color w:val="000000"/>
        </w:rPr>
        <w:t xml:space="preserve">3. Иные последствия недействительности сделки, которые согласно п. 2 ст. 167 могут предусматриваться законом, определяются в ГК по-разному: в общей форме и для некоторых видов недействительных сделок. Общим дополнительным последствием является правило ст. 1103 ГК РФ о применении к </w:t>
      </w:r>
      <w:proofErr w:type="gramStart"/>
      <w:r>
        <w:rPr>
          <w:rFonts w:ascii="Tahoma" w:hAnsi="Tahoma" w:cs="Tahoma"/>
          <w:color w:val="000000"/>
        </w:rPr>
        <w:t>требованиям</w:t>
      </w:r>
      <w:proofErr w:type="gramEnd"/>
      <w:r>
        <w:rPr>
          <w:rFonts w:ascii="Tahoma" w:hAnsi="Tahoma" w:cs="Tahoma"/>
          <w:color w:val="000000"/>
        </w:rPr>
        <w:t xml:space="preserve"> о возврате исполненного по недействительной сделке положений о неосновательном обогащении. Это важное нововведение ГК по сравнению с ранее действовавшим законодательством. Согласно ст. 1103 ГК РФ к требованиям о возврате исполненного по недействительной сделке применяются правила гл. 60. Обязательства вследствие неосновательного обогащения (ст. ст. 1102 - 1109). Это позволяет сторонам недействительной сделки, помимо </w:t>
      </w:r>
      <w:proofErr w:type="gramStart"/>
      <w:r>
        <w:rPr>
          <w:rFonts w:ascii="Tahoma" w:hAnsi="Tahoma" w:cs="Tahoma"/>
          <w:color w:val="000000"/>
        </w:rPr>
        <w:t>возврата</w:t>
      </w:r>
      <w:proofErr w:type="gramEnd"/>
      <w:r>
        <w:rPr>
          <w:rFonts w:ascii="Tahoma" w:hAnsi="Tahoma" w:cs="Tahoma"/>
          <w:color w:val="000000"/>
        </w:rPr>
        <w:t xml:space="preserve"> полученного по сделке в натуре или его стоимости, требовать также доходов, которые </w:t>
      </w:r>
      <w:r>
        <w:rPr>
          <w:rFonts w:ascii="Tahoma" w:hAnsi="Tahoma" w:cs="Tahoma"/>
          <w:color w:val="000000"/>
        </w:rPr>
        <w:lastRenderedPageBreak/>
        <w:t xml:space="preserve">были извлечены или могли быть извлечены из этого имущества, а по денежному возмещению - процентов (ст. 1107). При возврате имущества или возмещении его стоимости можно требовать возмещения необходимых затрат с зачетом полученных выгод (ст. 1108). 4. Применительно к отдельным видам недействительных сделок в изъятие из общих правил п. 2 ст. 167 взаимная реституция не предусматривается и вводится правило о возврате полученного только одной стороной (ст. 179 ГК РФ) или о взыскании полученного по сделке в доход бюджета (ст. 169 ГК РФ). 5. В некоторых случаях недействительности сделок ГК в качестве иных дополнительных ее последствий предоставляет заинтересованному лицу право требовать возмещения убытков, понесенных вследствие такой недействительности. Требование убытков допускается в силу ст. ст. 178, 179, 687, п. 3 ст. 951. Если это право в ГК не упоминается, для заявления подобного требования нет оснований. 6. Из содержания </w:t>
      </w:r>
      <w:proofErr w:type="spellStart"/>
      <w:r>
        <w:rPr>
          <w:rFonts w:ascii="Tahoma" w:hAnsi="Tahoma" w:cs="Tahoma"/>
          <w:color w:val="000000"/>
        </w:rPr>
        <w:t>оспоримой</w:t>
      </w:r>
      <w:proofErr w:type="spellEnd"/>
      <w:r>
        <w:rPr>
          <w:rFonts w:ascii="Tahoma" w:hAnsi="Tahoma" w:cs="Tahoma"/>
          <w:color w:val="000000"/>
        </w:rPr>
        <w:t xml:space="preserve"> сделки согласно п. 3 ст. 167 может вытекать невозможность признания ее недействительной с момента совершения, и тогда действие сделки прекращается судом на будущее. Это в основном случаи, когда </w:t>
      </w:r>
      <w:proofErr w:type="spellStart"/>
      <w:r>
        <w:rPr>
          <w:rFonts w:ascii="Tahoma" w:hAnsi="Tahoma" w:cs="Tahoma"/>
          <w:color w:val="000000"/>
        </w:rPr>
        <w:t>оспоримая</w:t>
      </w:r>
      <w:proofErr w:type="spellEnd"/>
      <w:r>
        <w:rPr>
          <w:rFonts w:ascii="Tahoma" w:hAnsi="Tahoma" w:cs="Tahoma"/>
          <w:color w:val="000000"/>
        </w:rPr>
        <w:t xml:space="preserve"> сделка уже была частично исполнена. В отношении исполненной и сохраненной части сделки по общему правилу остаются в силе взаимные права и обязанности сторон. Например, при прекращении на будущее недействительного договора аренды стороны обязаны исполнить свои взаимные обязательства, связанные с фактическим пользованием имуществом (уплатить арендную плату, расходы по содержанию имущества и т.д.). Однако из решения суда, с учетом особенностей отдельных случаев недействительности, может вытекать иное решение этого вопроса.</w:t>
      </w:r>
      <w:r>
        <w:rPr>
          <w:rFonts w:ascii="Tahoma" w:hAnsi="Tahoma" w:cs="Tahoma"/>
          <w:color w:val="000000"/>
        </w:rPr>
        <w:br/>
      </w:r>
    </w:p>
    <w:sectPr w:rsidR="003936A4" w:rsidRPr="005124A1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219"/>
    <w:multiLevelType w:val="multilevel"/>
    <w:tmpl w:val="D72A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636EB"/>
    <w:multiLevelType w:val="multilevel"/>
    <w:tmpl w:val="17F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6727D"/>
    <w:multiLevelType w:val="multilevel"/>
    <w:tmpl w:val="D3D4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6569C"/>
    <w:multiLevelType w:val="multilevel"/>
    <w:tmpl w:val="AEF4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B7398"/>
    <w:multiLevelType w:val="multilevel"/>
    <w:tmpl w:val="A490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835DE"/>
    <w:multiLevelType w:val="multilevel"/>
    <w:tmpl w:val="648E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B39D3"/>
    <w:multiLevelType w:val="multilevel"/>
    <w:tmpl w:val="0BF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20B65"/>
    <w:multiLevelType w:val="multilevel"/>
    <w:tmpl w:val="9F14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529F2"/>
    <w:multiLevelType w:val="multilevel"/>
    <w:tmpl w:val="BE90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36D92"/>
    <w:multiLevelType w:val="multilevel"/>
    <w:tmpl w:val="6F68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04DD6"/>
    <w:multiLevelType w:val="multilevel"/>
    <w:tmpl w:val="821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08424C"/>
    <w:multiLevelType w:val="multilevel"/>
    <w:tmpl w:val="3498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0636C4"/>
    <w:multiLevelType w:val="multilevel"/>
    <w:tmpl w:val="90D4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D3A25"/>
    <w:multiLevelType w:val="multilevel"/>
    <w:tmpl w:val="DE1E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040F9"/>
    <w:multiLevelType w:val="multilevel"/>
    <w:tmpl w:val="BBF2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EB6636"/>
    <w:multiLevelType w:val="multilevel"/>
    <w:tmpl w:val="E134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65C88"/>
    <w:multiLevelType w:val="multilevel"/>
    <w:tmpl w:val="3184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4B3D91"/>
    <w:multiLevelType w:val="multilevel"/>
    <w:tmpl w:val="575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E6206"/>
    <w:multiLevelType w:val="multilevel"/>
    <w:tmpl w:val="66C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49190D"/>
    <w:multiLevelType w:val="multilevel"/>
    <w:tmpl w:val="79F0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E43B7E"/>
    <w:multiLevelType w:val="multilevel"/>
    <w:tmpl w:val="18F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2"/>
  </w:num>
  <w:num w:numId="5">
    <w:abstractNumId w:val="13"/>
  </w:num>
  <w:num w:numId="6">
    <w:abstractNumId w:val="0"/>
  </w:num>
  <w:num w:numId="7">
    <w:abstractNumId w:val="2"/>
  </w:num>
  <w:num w:numId="8">
    <w:abstractNumId w:val="17"/>
  </w:num>
  <w:num w:numId="9">
    <w:abstractNumId w:val="7"/>
  </w:num>
  <w:num w:numId="10">
    <w:abstractNumId w:val="11"/>
  </w:num>
  <w:num w:numId="11">
    <w:abstractNumId w:val="15"/>
  </w:num>
  <w:num w:numId="12">
    <w:abstractNumId w:val="1"/>
  </w:num>
  <w:num w:numId="13">
    <w:abstractNumId w:val="5"/>
  </w:num>
  <w:num w:numId="14">
    <w:abstractNumId w:val="6"/>
  </w:num>
  <w:num w:numId="15">
    <w:abstractNumId w:val="8"/>
  </w:num>
  <w:num w:numId="16">
    <w:abstractNumId w:val="4"/>
  </w:num>
  <w:num w:numId="17">
    <w:abstractNumId w:val="19"/>
  </w:num>
  <w:num w:numId="18">
    <w:abstractNumId w:val="10"/>
  </w:num>
  <w:num w:numId="19">
    <w:abstractNumId w:val="9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D2"/>
    <w:rsid w:val="000B523A"/>
    <w:rsid w:val="00144010"/>
    <w:rsid w:val="0014727D"/>
    <w:rsid w:val="003E62B9"/>
    <w:rsid w:val="005124A1"/>
    <w:rsid w:val="006312B3"/>
    <w:rsid w:val="006B37FC"/>
    <w:rsid w:val="00712A1A"/>
    <w:rsid w:val="007460FD"/>
    <w:rsid w:val="007671A4"/>
    <w:rsid w:val="007E3256"/>
    <w:rsid w:val="00836AD2"/>
    <w:rsid w:val="00982576"/>
    <w:rsid w:val="0099647B"/>
    <w:rsid w:val="00B25B39"/>
    <w:rsid w:val="00F14F8D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643</Words>
  <Characters>4299</Characters>
  <Application>Microsoft Office Word</Application>
  <DocSecurity>0</DocSecurity>
  <Lines>87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2016-07-24T12:02:00Z</dcterms:created>
  <dcterms:modified xsi:type="dcterms:W3CDTF">2016-07-24T16:11:00Z</dcterms:modified>
</cp:coreProperties>
</file>