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Статья 24.1. Договор обязательного страхования ответственности арбитражного управляющего</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0" w:name="102196"/>
      <w:bookmarkEnd w:id="0"/>
      <w:r>
        <w:rPr>
          <w:rFonts w:ascii="Open Sans" w:hAnsi="Open Sans" w:cs="Open Sans"/>
          <w:color w:val="000000"/>
          <w:sz w:val="23"/>
          <w:szCs w:val="23"/>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1" w:name="102197"/>
      <w:bookmarkEnd w:id="1"/>
      <w:r>
        <w:rPr>
          <w:rFonts w:ascii="Open Sans" w:hAnsi="Open Sans" w:cs="Open Sans"/>
          <w:color w:val="000000"/>
          <w:sz w:val="23"/>
          <w:szCs w:val="23"/>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2" w:name="102198"/>
      <w:bookmarkEnd w:id="2"/>
      <w:r>
        <w:rPr>
          <w:rFonts w:ascii="Open Sans" w:hAnsi="Open Sans" w:cs="Open Sans"/>
          <w:color w:val="000000"/>
          <w:sz w:val="23"/>
          <w:szCs w:val="23"/>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3" w:name="102199"/>
      <w:bookmarkEnd w:id="3"/>
      <w:r>
        <w:rPr>
          <w:rFonts w:ascii="Open Sans" w:hAnsi="Open Sans" w:cs="Open Sans"/>
          <w:color w:val="000000"/>
          <w:sz w:val="23"/>
          <w:szCs w:val="23"/>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w:t>
      </w:r>
      <w:r>
        <w:rPr>
          <w:rStyle w:val="apple-converted-space"/>
          <w:rFonts w:ascii="Open Sans" w:hAnsi="Open Sans" w:cs="Open Sans"/>
          <w:color w:val="000000"/>
          <w:sz w:val="23"/>
          <w:szCs w:val="23"/>
        </w:rPr>
        <w:t> </w:t>
      </w:r>
      <w:hyperlink r:id="rId5" w:history="1">
        <w:r>
          <w:rPr>
            <w:rStyle w:val="a3"/>
            <w:rFonts w:ascii="inherit" w:hAnsi="inherit" w:cs="Open Sans"/>
            <w:color w:val="005EA5"/>
            <w:sz w:val="23"/>
            <w:szCs w:val="23"/>
            <w:bdr w:val="none" w:sz="0" w:space="0" w:color="auto" w:frame="1"/>
          </w:rPr>
          <w:t>пунктом 2</w:t>
        </w:r>
      </w:hyperlink>
      <w:r>
        <w:rPr>
          <w:rStyle w:val="apple-converted-space"/>
          <w:rFonts w:ascii="Open Sans" w:hAnsi="Open Sans" w:cs="Open Sans"/>
          <w:color w:val="000000"/>
          <w:sz w:val="23"/>
          <w:szCs w:val="23"/>
        </w:rPr>
        <w:t> </w:t>
      </w:r>
      <w:r>
        <w:rPr>
          <w:rFonts w:ascii="Open Sans" w:hAnsi="Open Sans" w:cs="Open Sans"/>
          <w:color w:val="000000"/>
          <w:sz w:val="23"/>
          <w:szCs w:val="23"/>
        </w:rPr>
        <w:t>настоящей статьи минимальный размер страховой суммы в год и устанавливается в соответствии с таким решением.</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4" w:name="004109"/>
      <w:bookmarkEnd w:id="4"/>
      <w:r>
        <w:rPr>
          <w:rFonts w:ascii="Open Sans" w:hAnsi="Open Sans" w:cs="Open Sans"/>
          <w:color w:val="000000"/>
          <w:sz w:val="23"/>
          <w:szCs w:val="23"/>
        </w:rPr>
        <w:lastRenderedPageBreak/>
        <w:t>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w:t>
      </w:r>
      <w:r>
        <w:rPr>
          <w:rStyle w:val="apple-converted-space"/>
          <w:rFonts w:ascii="Open Sans" w:hAnsi="Open Sans" w:cs="Open Sans"/>
          <w:color w:val="000000"/>
          <w:sz w:val="23"/>
          <w:szCs w:val="23"/>
        </w:rPr>
        <w:t> </w:t>
      </w:r>
      <w:hyperlink r:id="rId6" w:history="1">
        <w:r>
          <w:rPr>
            <w:rStyle w:val="a3"/>
            <w:rFonts w:ascii="inherit" w:hAnsi="inherit" w:cs="Open Sans"/>
            <w:color w:val="005EA5"/>
            <w:sz w:val="23"/>
            <w:szCs w:val="23"/>
            <w:bdr w:val="none" w:sz="0" w:space="0" w:color="auto" w:frame="1"/>
          </w:rPr>
          <w:t>пунктом 2</w:t>
        </w:r>
      </w:hyperlink>
      <w:r>
        <w:rPr>
          <w:rStyle w:val="apple-converted-space"/>
          <w:rFonts w:ascii="Open Sans" w:hAnsi="Open Sans" w:cs="Open Sans"/>
          <w:color w:val="000000"/>
          <w:sz w:val="23"/>
          <w:szCs w:val="23"/>
        </w:rPr>
        <w:t> </w:t>
      </w:r>
      <w:r>
        <w:rPr>
          <w:rFonts w:ascii="Open Sans" w:hAnsi="Open Sans" w:cs="Open Sans"/>
          <w:color w:val="000000"/>
          <w:sz w:val="23"/>
          <w:szCs w:val="23"/>
        </w:rPr>
        <w:t>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5" w:name="004110"/>
      <w:bookmarkEnd w:id="5"/>
      <w:r>
        <w:rPr>
          <w:rFonts w:ascii="Open Sans" w:hAnsi="Open Sans" w:cs="Open Sans"/>
          <w:color w:val="000000"/>
          <w:sz w:val="23"/>
          <w:szCs w:val="23"/>
        </w:rPr>
        <w:t>Арбитражный управляющий также обязан заключить наряду с дополнительным договором обязательного страхования своей ответственности, предусмотренным</w:t>
      </w:r>
      <w:hyperlink r:id="rId7" w:history="1">
        <w:r>
          <w:rPr>
            <w:rStyle w:val="a3"/>
            <w:rFonts w:ascii="inherit" w:hAnsi="inherit" w:cs="Open Sans"/>
            <w:color w:val="005EA5"/>
            <w:sz w:val="23"/>
            <w:szCs w:val="23"/>
            <w:bdr w:val="none" w:sz="0" w:space="0" w:color="auto" w:frame="1"/>
          </w:rPr>
          <w:t>пунктом 2</w:t>
        </w:r>
      </w:hyperlink>
      <w:r>
        <w:rPr>
          <w:rStyle w:val="apple-converted-space"/>
          <w:rFonts w:ascii="Open Sans" w:hAnsi="Open Sans" w:cs="Open Sans"/>
          <w:color w:val="000000"/>
          <w:sz w:val="23"/>
          <w:szCs w:val="23"/>
        </w:rPr>
        <w:t> </w:t>
      </w:r>
      <w:r>
        <w:rPr>
          <w:rFonts w:ascii="Open Sans" w:hAnsi="Open Sans" w:cs="Open Sans"/>
          <w:color w:val="000000"/>
          <w:sz w:val="23"/>
          <w:szCs w:val="23"/>
        </w:rPr>
        <w:t>настоящей статьи, дополнительный договор страхования ответственности арбитражного управляющего в случае, предусмотренном</w:t>
      </w:r>
      <w:r>
        <w:rPr>
          <w:rStyle w:val="apple-converted-space"/>
          <w:rFonts w:ascii="Open Sans" w:hAnsi="Open Sans" w:cs="Open Sans"/>
          <w:color w:val="000000"/>
          <w:sz w:val="23"/>
          <w:szCs w:val="23"/>
        </w:rPr>
        <w:t> </w:t>
      </w:r>
      <w:hyperlink r:id="rId8" w:history="1">
        <w:r>
          <w:rPr>
            <w:rStyle w:val="a3"/>
            <w:rFonts w:ascii="inherit" w:hAnsi="inherit" w:cs="Open Sans"/>
            <w:color w:val="005EA5"/>
            <w:sz w:val="23"/>
            <w:szCs w:val="23"/>
            <w:bdr w:val="none" w:sz="0" w:space="0" w:color="auto" w:frame="1"/>
          </w:rPr>
          <w:t>пунктом 5 статьи 45</w:t>
        </w:r>
      </w:hyperlink>
      <w:r>
        <w:rPr>
          <w:rFonts w:ascii="Open Sans" w:hAnsi="Open Sans" w:cs="Open Sans"/>
          <w:color w:val="000000"/>
          <w:sz w:val="23"/>
          <w:szCs w:val="23"/>
        </w:rPr>
        <w:t>настоящего Федерального закона.</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w:t>
      </w:r>
      <w:r>
        <w:rPr>
          <w:rStyle w:val="apple-converted-space"/>
          <w:rFonts w:ascii="Open Sans" w:hAnsi="Open Sans" w:cs="Open Sans"/>
          <w:color w:val="000000"/>
          <w:sz w:val="23"/>
          <w:szCs w:val="23"/>
        </w:rPr>
        <w:t> </w:t>
      </w:r>
      <w:hyperlink r:id="rId9" w:history="1">
        <w:r>
          <w:rPr>
            <w:rStyle w:val="a3"/>
            <w:rFonts w:ascii="inherit" w:hAnsi="inherit" w:cs="Open Sans"/>
            <w:color w:val="005EA5"/>
            <w:sz w:val="23"/>
            <w:szCs w:val="23"/>
            <w:bdr w:val="none" w:sz="0" w:space="0" w:color="auto" w:frame="1"/>
          </w:rPr>
          <w:t>пунктом 6</w:t>
        </w:r>
      </w:hyperlink>
      <w:r>
        <w:rPr>
          <w:rStyle w:val="apple-converted-space"/>
          <w:rFonts w:ascii="Open Sans" w:hAnsi="Open Sans" w:cs="Open Sans"/>
          <w:color w:val="000000"/>
          <w:sz w:val="23"/>
          <w:szCs w:val="23"/>
        </w:rPr>
        <w:t> </w:t>
      </w:r>
      <w:r>
        <w:rPr>
          <w:rFonts w:ascii="Open Sans" w:hAnsi="Open Sans" w:cs="Open Sans"/>
          <w:color w:val="000000"/>
          <w:sz w:val="23"/>
          <w:szCs w:val="23"/>
        </w:rPr>
        <w:t>настоящей статьи.</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w:t>
      </w:r>
      <w:r>
        <w:rPr>
          <w:rFonts w:ascii="Open Sans" w:hAnsi="Open Sans" w:cs="Open Sans"/>
          <w:color w:val="000000"/>
          <w:sz w:val="23"/>
          <w:szCs w:val="23"/>
        </w:rPr>
        <w:lastRenderedPageBreak/>
        <w:t>по обязательствам, указанным в</w:t>
      </w:r>
      <w:r>
        <w:rPr>
          <w:rStyle w:val="apple-converted-space"/>
          <w:rFonts w:ascii="Open Sans" w:hAnsi="Open Sans" w:cs="Open Sans"/>
          <w:color w:val="000000"/>
          <w:sz w:val="23"/>
          <w:szCs w:val="23"/>
        </w:rPr>
        <w:t> </w:t>
      </w:r>
      <w:hyperlink r:id="rId10" w:history="1">
        <w:r>
          <w:rPr>
            <w:rStyle w:val="a3"/>
            <w:rFonts w:ascii="inherit" w:hAnsi="inherit" w:cs="Open Sans"/>
            <w:color w:val="005EA5"/>
            <w:sz w:val="23"/>
            <w:szCs w:val="23"/>
            <w:bdr w:val="none" w:sz="0" w:space="0" w:color="auto" w:frame="1"/>
          </w:rPr>
          <w:t>пункте 5</w:t>
        </w:r>
      </w:hyperlink>
      <w:r>
        <w:rPr>
          <w:rStyle w:val="apple-converted-space"/>
          <w:rFonts w:ascii="Open Sans" w:hAnsi="Open Sans" w:cs="Open Sans"/>
          <w:color w:val="000000"/>
          <w:sz w:val="23"/>
          <w:szCs w:val="23"/>
        </w:rPr>
        <w:t> </w:t>
      </w:r>
      <w:r>
        <w:rPr>
          <w:rFonts w:ascii="Open Sans" w:hAnsi="Open Sans" w:cs="Open Sans"/>
          <w:color w:val="000000"/>
          <w:sz w:val="23"/>
          <w:szCs w:val="23"/>
        </w:rPr>
        <w:t>настоящей статьи, за исключением наступления ответственности в результате:</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6" w:name="000450"/>
      <w:bookmarkEnd w:id="6"/>
      <w:r>
        <w:rPr>
          <w:rFonts w:ascii="Open Sans" w:hAnsi="Open Sans" w:cs="Open Sans"/>
          <w:color w:val="000000"/>
          <w:sz w:val="23"/>
          <w:szCs w:val="23"/>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7" w:name="000451"/>
      <w:bookmarkEnd w:id="7"/>
      <w:r>
        <w:rPr>
          <w:rFonts w:ascii="Open Sans" w:hAnsi="Open Sans" w:cs="Open Sans"/>
          <w:color w:val="000000"/>
          <w:sz w:val="23"/>
          <w:szCs w:val="23"/>
        </w:rPr>
        <w:t>причинения морального вреда;</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8" w:name="000452"/>
      <w:bookmarkEnd w:id="8"/>
      <w:r>
        <w:rPr>
          <w:rFonts w:ascii="Open Sans" w:hAnsi="Open Sans" w:cs="Open Sans"/>
          <w:color w:val="000000"/>
          <w:sz w:val="23"/>
          <w:szCs w:val="23"/>
        </w:rPr>
        <w:t>противоправных действий или бездействия иного лица;</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9" w:name="000453"/>
      <w:bookmarkEnd w:id="9"/>
      <w:r>
        <w:rPr>
          <w:rFonts w:ascii="Open Sans" w:hAnsi="Open Sans" w:cs="Open Sans"/>
          <w:color w:val="000000"/>
          <w:sz w:val="23"/>
          <w:szCs w:val="23"/>
        </w:rPr>
        <w:t>действий или бездействия арбитражного управляющего, не связанных с осуществлением им полномочий в деле о банкротстве.</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10" w:name="000454"/>
      <w:bookmarkEnd w:id="10"/>
      <w:r>
        <w:rPr>
          <w:rFonts w:ascii="Open Sans" w:hAnsi="Open Sans" w:cs="Open Sans"/>
          <w:color w:val="000000"/>
          <w:sz w:val="23"/>
          <w:szCs w:val="23"/>
        </w:rPr>
        <w:t>В указанных в настоящем пункте случаях причиненные убытки подлежат возмещению в соответствии с законодательством Российской Федерации.</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11" w:name="000457"/>
      <w:bookmarkEnd w:id="11"/>
      <w:r>
        <w:rPr>
          <w:rFonts w:ascii="Open Sans" w:hAnsi="Open Sans" w:cs="Open Sans"/>
          <w:color w:val="000000"/>
          <w:sz w:val="23"/>
          <w:szCs w:val="23"/>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12" w:name="000458"/>
      <w:bookmarkEnd w:id="12"/>
      <w:r>
        <w:rPr>
          <w:rFonts w:ascii="Open Sans" w:hAnsi="Open Sans" w:cs="Open Sans"/>
          <w:color w:val="000000"/>
          <w:sz w:val="23"/>
          <w:szCs w:val="23"/>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13" w:name="000459"/>
      <w:bookmarkEnd w:id="13"/>
      <w:r>
        <w:rPr>
          <w:rFonts w:ascii="Open Sans" w:hAnsi="Open Sans" w:cs="Open Sans"/>
          <w:color w:val="000000"/>
          <w:sz w:val="23"/>
          <w:szCs w:val="23"/>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14" w:name="000461"/>
      <w:bookmarkEnd w:id="14"/>
      <w:r>
        <w:rPr>
          <w:rFonts w:ascii="Open Sans" w:hAnsi="Open Sans" w:cs="Open Sans"/>
          <w:color w:val="000000"/>
          <w:sz w:val="23"/>
          <w:szCs w:val="23"/>
        </w:rPr>
        <w:lastRenderedPageBreak/>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E43949" w:rsidRDefault="00E43949" w:rsidP="00E43949">
      <w:pPr>
        <w:pStyle w:val="a4"/>
        <w:spacing w:before="0" w:beforeAutospacing="0" w:after="0" w:afterAutospacing="0" w:line="330" w:lineRule="atLeast"/>
        <w:textAlignment w:val="baseline"/>
        <w:rPr>
          <w:rFonts w:ascii="Open Sans" w:hAnsi="Open Sans" w:cs="Open Sans"/>
          <w:color w:val="000000"/>
          <w:sz w:val="23"/>
          <w:szCs w:val="23"/>
        </w:rPr>
      </w:pPr>
      <w:bookmarkStart w:id="15" w:name="000462"/>
      <w:bookmarkEnd w:id="15"/>
      <w:r>
        <w:rPr>
          <w:rFonts w:ascii="Open Sans" w:hAnsi="Open Sans" w:cs="Open Sans"/>
          <w:color w:val="000000"/>
          <w:sz w:val="23"/>
          <w:szCs w:val="23"/>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E43949" w:rsidRDefault="00E43949" w:rsidP="00E43949">
      <w:pPr>
        <w:pStyle w:val="a4"/>
        <w:spacing w:before="0" w:beforeAutospacing="0" w:after="180" w:afterAutospacing="0" w:line="330" w:lineRule="atLeast"/>
        <w:textAlignment w:val="baseline"/>
        <w:rPr>
          <w:rFonts w:ascii="Open Sans" w:hAnsi="Open Sans" w:cs="Open Sans"/>
          <w:color w:val="000000"/>
          <w:sz w:val="23"/>
          <w:szCs w:val="23"/>
        </w:rPr>
      </w:pPr>
      <w:r>
        <w:rPr>
          <w:rFonts w:ascii="Open Sans" w:hAnsi="Open Sans" w:cs="Open Sans"/>
          <w:color w:val="000000"/>
          <w:sz w:val="23"/>
          <w:szCs w:val="23"/>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3936A4" w:rsidRPr="00E43949" w:rsidRDefault="00E43949" w:rsidP="00E43949"/>
    <w:sectPr w:rsidR="003936A4" w:rsidRPr="00E43949"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77"/>
    <w:multiLevelType w:val="multilevel"/>
    <w:tmpl w:val="2FB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B2E"/>
    <w:multiLevelType w:val="multilevel"/>
    <w:tmpl w:val="75F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F7916"/>
    <w:multiLevelType w:val="multilevel"/>
    <w:tmpl w:val="394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1653E"/>
    <w:multiLevelType w:val="multilevel"/>
    <w:tmpl w:val="971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14E82"/>
    <w:multiLevelType w:val="multilevel"/>
    <w:tmpl w:val="0F1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C6B23"/>
    <w:multiLevelType w:val="multilevel"/>
    <w:tmpl w:val="F8D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258EB"/>
    <w:multiLevelType w:val="multilevel"/>
    <w:tmpl w:val="DE5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C0F09"/>
    <w:multiLevelType w:val="multilevel"/>
    <w:tmpl w:val="E80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46739"/>
    <w:multiLevelType w:val="multilevel"/>
    <w:tmpl w:val="6DA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21F14"/>
    <w:multiLevelType w:val="multilevel"/>
    <w:tmpl w:val="E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5"/>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B523A"/>
    <w:rsid w:val="00130D14"/>
    <w:rsid w:val="00142D6E"/>
    <w:rsid w:val="00144010"/>
    <w:rsid w:val="0014671C"/>
    <w:rsid w:val="0014727D"/>
    <w:rsid w:val="001606DE"/>
    <w:rsid w:val="00183BB0"/>
    <w:rsid w:val="001B2CBE"/>
    <w:rsid w:val="002350AC"/>
    <w:rsid w:val="002579CF"/>
    <w:rsid w:val="002F2A90"/>
    <w:rsid w:val="00354333"/>
    <w:rsid w:val="003E62B9"/>
    <w:rsid w:val="00502B44"/>
    <w:rsid w:val="005124A1"/>
    <w:rsid w:val="006312B3"/>
    <w:rsid w:val="00631FCB"/>
    <w:rsid w:val="006B37FC"/>
    <w:rsid w:val="006B5D50"/>
    <w:rsid w:val="00705986"/>
    <w:rsid w:val="00712A1A"/>
    <w:rsid w:val="00724C5F"/>
    <w:rsid w:val="007460FD"/>
    <w:rsid w:val="007606D6"/>
    <w:rsid w:val="007671A4"/>
    <w:rsid w:val="007E3256"/>
    <w:rsid w:val="00836AD2"/>
    <w:rsid w:val="009008E1"/>
    <w:rsid w:val="00940B0F"/>
    <w:rsid w:val="00982576"/>
    <w:rsid w:val="00995293"/>
    <w:rsid w:val="0099647B"/>
    <w:rsid w:val="009B5CE3"/>
    <w:rsid w:val="00A6383B"/>
    <w:rsid w:val="00AB7333"/>
    <w:rsid w:val="00B25B39"/>
    <w:rsid w:val="00B67AE8"/>
    <w:rsid w:val="00B91B3C"/>
    <w:rsid w:val="00B94798"/>
    <w:rsid w:val="00D906B2"/>
    <w:rsid w:val="00DA1251"/>
    <w:rsid w:val="00E00109"/>
    <w:rsid w:val="00E43949"/>
    <w:rsid w:val="00E8593F"/>
    <w:rsid w:val="00F14F8D"/>
    <w:rsid w:val="00F223AC"/>
    <w:rsid w:val="00F36010"/>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nesostojatelnosti-bankrotstve/" TargetMode="External"/><Relationship Id="rId3" Type="http://schemas.openxmlformats.org/officeDocument/2006/relationships/settings" Target="settings.xml"/><Relationship Id="rId7" Type="http://schemas.openxmlformats.org/officeDocument/2006/relationships/hyperlink" Target="http://legalacts.ru/doc/FZ-o-nesostojatelnosti-bankrotst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Z-o-nesostojatelnosti-bankrotstve/" TargetMode="External"/><Relationship Id="rId11" Type="http://schemas.openxmlformats.org/officeDocument/2006/relationships/fontTable" Target="fontTable.xml"/><Relationship Id="rId5" Type="http://schemas.openxmlformats.org/officeDocument/2006/relationships/hyperlink" Target="http://legalacts.ru/doc/FZ-o-nesostojatelnosti-bankrotstve/" TargetMode="External"/><Relationship Id="rId10" Type="http://schemas.openxmlformats.org/officeDocument/2006/relationships/hyperlink" Target="http://legalacts.ru/doc/FZ-o-nesostojatelnosti-bankrotstve/" TargetMode="External"/><Relationship Id="rId4" Type="http://schemas.openxmlformats.org/officeDocument/2006/relationships/webSettings" Target="webSettings.xml"/><Relationship Id="rId9" Type="http://schemas.openxmlformats.org/officeDocument/2006/relationships/hyperlink" Target="http://legalacts.ru/doc/FZ-o-nesostojatelnosti-bankrotst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2016-07-24T12:02:00Z</dcterms:created>
  <dcterms:modified xsi:type="dcterms:W3CDTF">2016-07-25T11:52:00Z</dcterms:modified>
</cp:coreProperties>
</file>