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Arial"/>
          <w:color w:val="000000"/>
          <w:sz w:val="27"/>
          <w:szCs w:val="27"/>
          <w:lang w:eastAsia="ru-RU"/>
        </w:rPr>
      </w:pPr>
      <w:r w:rsidRPr="00335A2A">
        <w:rPr>
          <w:rFonts w:ascii="PtSansBold" w:eastAsia="Times New Roman" w:hAnsi="PtSansBold" w:cs="Arial"/>
          <w:color w:val="000000"/>
          <w:sz w:val="27"/>
          <w:szCs w:val="27"/>
          <w:lang w:eastAsia="ru-RU"/>
        </w:rPr>
        <w:t>Условия действуют с 01.06.2016</w:t>
      </w:r>
    </w:p>
    <w:p w:rsidR="00335A2A" w:rsidRPr="00335A2A" w:rsidRDefault="00335A2A" w:rsidP="00335A2A">
      <w:pPr>
        <w:shd w:val="clear" w:color="auto" w:fill="FFFFFF"/>
        <w:spacing w:after="0" w:line="324" w:lineRule="atLeast"/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</w:pPr>
      <w:r w:rsidRPr="00335A2A"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  <w:t>Потребительский кредит без обеспечения</w:t>
      </w:r>
    </w:p>
    <w:tbl>
      <w:tblPr>
        <w:tblW w:w="10125" w:type="dxa"/>
        <w:tblCellSpacing w:w="15" w:type="dxa"/>
        <w:tblBorders>
          <w:top w:val="single" w:sz="12" w:space="0" w:color="999999"/>
          <w:bottom w:val="single" w:sz="12" w:space="0" w:color="D3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3"/>
        <w:gridCol w:w="1463"/>
        <w:gridCol w:w="2268"/>
        <w:gridCol w:w="1781"/>
      </w:tblGrid>
      <w:tr w:rsidR="00335A2A" w:rsidRPr="00335A2A" w:rsidTr="00335A2A">
        <w:trPr>
          <w:trHeight w:val="133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Срок, мес.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ставки, % годовых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Сумма кредита</w:t>
            </w:r>
            <w:r w:rsidRPr="00335A2A">
              <w:rPr>
                <w:rFonts w:ascii="PtSansBold" w:eastAsia="Times New Roman" w:hAnsi="PtSansBold" w:cs="Times New Roman"/>
                <w:color w:val="FF0000"/>
                <w:sz w:val="20"/>
                <w:vertAlign w:val="superscript"/>
                <w:lang w:eastAsia="ru-RU"/>
              </w:rPr>
              <w:t>1</w:t>
            </w: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, руб.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При оформлении полиса добровольного страхования жизни и здоровья заемщика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24, 36, 48, 60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19,9 — 22,9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от 60 000 до 700 000</w:t>
            </w:r>
            <w:r w:rsidRPr="00335A2A">
              <w:rPr>
                <w:rFonts w:ascii="PtSansBold" w:eastAsia="Times New Roman" w:hAnsi="PtSansBold" w:cs="Times New Roman"/>
                <w:color w:val="E00024"/>
                <w:sz w:val="18"/>
                <w:vertAlign w:val="superscript"/>
                <w:lang w:eastAsia="ru-RU"/>
              </w:rPr>
              <w:t>2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Без оформления полиса добровольного страхования жизни и здоровья заемщика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24, 36, 48, 60, 72, 84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23,9 — 26,9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от 60 000 до 700 000</w:t>
            </w:r>
            <w:r w:rsidRPr="00335A2A">
              <w:rPr>
                <w:rFonts w:ascii="PtSansBold" w:eastAsia="Times New Roman" w:hAnsi="PtSansBold" w:cs="Times New Roman"/>
                <w:color w:val="E00024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:rsidR="00335A2A" w:rsidRPr="00335A2A" w:rsidRDefault="00335A2A" w:rsidP="00335A2A">
      <w:pPr>
        <w:shd w:val="clear" w:color="auto" w:fill="F2F2F2"/>
        <w:spacing w:after="0" w:line="324" w:lineRule="atLeast"/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</w:pPr>
      <w:r w:rsidRPr="00335A2A"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  <w:t>Потребительский кредит без обеспечения для зарплатных клиентов</w:t>
      </w:r>
    </w:p>
    <w:tbl>
      <w:tblPr>
        <w:tblW w:w="10125" w:type="dxa"/>
        <w:tblCellSpacing w:w="15" w:type="dxa"/>
        <w:tblBorders>
          <w:top w:val="single" w:sz="12" w:space="0" w:color="999999"/>
          <w:bottom w:val="single" w:sz="12" w:space="0" w:color="D3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9"/>
        <w:gridCol w:w="1460"/>
        <w:gridCol w:w="2264"/>
        <w:gridCol w:w="1802"/>
      </w:tblGrid>
      <w:tr w:rsidR="00335A2A" w:rsidRPr="00335A2A" w:rsidTr="00335A2A">
        <w:trPr>
          <w:trHeight w:val="133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Срок, мес.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ставки, % годовых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Сумма кредита</w:t>
            </w:r>
            <w:r w:rsidRPr="00335A2A">
              <w:rPr>
                <w:rFonts w:ascii="PtSansBold" w:eastAsia="Times New Roman" w:hAnsi="PtSansBold" w:cs="Times New Roman"/>
                <w:color w:val="FF0000"/>
                <w:sz w:val="20"/>
                <w:vertAlign w:val="superscript"/>
                <w:lang w:eastAsia="ru-RU"/>
              </w:rPr>
              <w:t>1</w:t>
            </w: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, руб.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При оформлении полиса добровольного страхования жизни и здоровья заемщика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24, 36, 48, 60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от 60 000 до 1 000 000</w:t>
            </w:r>
            <w:r w:rsidRPr="00335A2A">
              <w:rPr>
                <w:rFonts w:ascii="PtSansBold" w:eastAsia="Times New Roman" w:hAnsi="PtSansBold" w:cs="Times New Roman"/>
                <w:color w:val="E00024"/>
                <w:sz w:val="18"/>
                <w:vertAlign w:val="superscript"/>
                <w:lang w:eastAsia="ru-RU"/>
              </w:rPr>
              <w:t>3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Без оформления полиса добровольного страхования жизни и здоровья заемщика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24, 36, 48, 60, 72, 84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от 60 000 до 1 000 000</w:t>
            </w:r>
            <w:r w:rsidRPr="00335A2A">
              <w:rPr>
                <w:rFonts w:ascii="PtSansBold" w:eastAsia="Times New Roman" w:hAnsi="PtSansBold" w:cs="Times New Roman"/>
                <w:color w:val="E00024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</w:tbl>
    <w:p w:rsidR="00335A2A" w:rsidRPr="00335A2A" w:rsidRDefault="00335A2A" w:rsidP="00335A2A">
      <w:pPr>
        <w:shd w:val="clear" w:color="auto" w:fill="FFFFFF"/>
        <w:spacing w:after="0" w:line="324" w:lineRule="atLeast"/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</w:pPr>
      <w:r w:rsidRPr="00335A2A"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  <w:t>Потребительский кредит для лиц, достигших пенсионного возраста и продолжающих официальную трудовую деятельность</w:t>
      </w:r>
    </w:p>
    <w:tbl>
      <w:tblPr>
        <w:tblW w:w="10125" w:type="dxa"/>
        <w:tblCellSpacing w:w="15" w:type="dxa"/>
        <w:tblBorders>
          <w:top w:val="single" w:sz="12" w:space="0" w:color="999999"/>
          <w:bottom w:val="single" w:sz="12" w:space="0" w:color="D3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  <w:gridCol w:w="1060"/>
        <w:gridCol w:w="2363"/>
        <w:gridCol w:w="1758"/>
      </w:tblGrid>
      <w:tr w:rsidR="00335A2A" w:rsidRPr="00335A2A" w:rsidTr="00335A2A">
        <w:trPr>
          <w:trHeight w:val="133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Срок, мес.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ставки, % годовых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Сумма кредита</w:t>
            </w:r>
            <w:r w:rsidRPr="00335A2A">
              <w:rPr>
                <w:rFonts w:ascii="PtSansBold" w:eastAsia="Times New Roman" w:hAnsi="PtSansBold" w:cs="Times New Roman"/>
                <w:color w:val="FF0000"/>
                <w:sz w:val="20"/>
                <w:vertAlign w:val="superscript"/>
                <w:lang w:eastAsia="ru-RU"/>
              </w:rPr>
              <w:t>1</w:t>
            </w: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, руб.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При оформлении полиса добровольного страхования жизни и здоровья заемщика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24, 36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от 60 000 до 150 000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Без оформления полиса добровольного страхования жизни и здоровья заемщика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24, 36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от 60 000 до 150 000</w:t>
            </w:r>
          </w:p>
        </w:tc>
      </w:tr>
    </w:tbl>
    <w:p w:rsidR="00335A2A" w:rsidRPr="00335A2A" w:rsidRDefault="00335A2A" w:rsidP="00335A2A">
      <w:pPr>
        <w:shd w:val="clear" w:color="auto" w:fill="F2F2F2"/>
        <w:spacing w:after="165" w:line="288" w:lineRule="atLeast"/>
        <w:outlineLvl w:val="2"/>
        <w:rPr>
          <w:rFonts w:ascii="PtSansBold" w:eastAsia="Times New Roman" w:hAnsi="PtSansBold" w:cs="Times New Roman"/>
          <w:color w:val="333333"/>
          <w:sz w:val="32"/>
          <w:szCs w:val="32"/>
          <w:lang w:eastAsia="ru-RU"/>
        </w:rPr>
      </w:pPr>
      <w:r w:rsidRPr="00335A2A">
        <w:rPr>
          <w:rFonts w:ascii="PtSansBold" w:eastAsia="Times New Roman" w:hAnsi="PtSansBold" w:cs="Times New Roman"/>
          <w:color w:val="333333"/>
          <w:sz w:val="32"/>
          <w:szCs w:val="32"/>
          <w:lang w:eastAsia="ru-RU"/>
        </w:rPr>
        <w:t>Основные условия</w:t>
      </w:r>
    </w:p>
    <w:tbl>
      <w:tblPr>
        <w:tblW w:w="14940" w:type="dxa"/>
        <w:tblCellSpacing w:w="15" w:type="dxa"/>
        <w:tblBorders>
          <w:top w:val="single" w:sz="12" w:space="0" w:color="999999"/>
          <w:bottom w:val="single" w:sz="12" w:space="0" w:color="D3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0"/>
        <w:gridCol w:w="7470"/>
      </w:tblGrid>
      <w:tr w:rsidR="00335A2A" w:rsidRPr="00335A2A" w:rsidTr="00335A2A">
        <w:trPr>
          <w:trHeight w:val="1335"/>
          <w:tblCellSpacing w:w="15" w:type="dxa"/>
        </w:trPr>
        <w:tc>
          <w:tcPr>
            <w:tcW w:w="850" w:type="pct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D3D2D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04040"/>
                <w:sz w:val="20"/>
                <w:szCs w:val="20"/>
                <w:lang w:eastAsia="ru-RU"/>
              </w:rPr>
              <w:t>Рубли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gridSpan w:val="2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Минимальный размер кредита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lastRenderedPageBreak/>
              <w:t>для клиентов, подтверждающих свой доход справкой о доходах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60 000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gridSpan w:val="2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Максимальный размер кредита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стандартный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500 000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для клиентов, имеющих кредит в ЮниКредит Банке, который открыт более 6 месяцев назад / закрыт не более 6 месяцев назад / с положительной кредитной историей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700 000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для клиентов, которым Банк сделал персональное предложение по кредиту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1 200 000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устанавливается на усмотрение Банка в качестве специального предложения для зарплатных клиентов, имеющих зарплатные поступления по счету за последние 3 месяца</w:t>
            </w:r>
            <w:r w:rsidRPr="00335A2A">
              <w:rPr>
                <w:rFonts w:ascii="PtSansBold" w:eastAsia="Times New Roman" w:hAnsi="PtSansBold" w:cs="Times New Roman"/>
                <w:color w:val="FF0000"/>
                <w:sz w:val="1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1 000 000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для клиентов, подтверждающих свой доход поездкой за пределы РФ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150 000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для клиентов, подтверждающих свой доход документом на право собственности автомобиля</w:t>
            </w:r>
            <w:r w:rsidRPr="00335A2A">
              <w:rPr>
                <w:rFonts w:ascii="PtSansBold" w:eastAsia="Times New Roman" w:hAnsi="PtSansBold" w:cs="Times New Roman"/>
                <w:color w:val="FF0000"/>
                <w:sz w:val="1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200 000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Минимальный срок кредита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24 месяца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Максимальный срок кредита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84 месяца</w:t>
            </w:r>
          </w:p>
        </w:tc>
      </w:tr>
    </w:tbl>
    <w:p w:rsidR="00335A2A" w:rsidRPr="00335A2A" w:rsidRDefault="00335A2A" w:rsidP="00335A2A">
      <w:pPr>
        <w:shd w:val="clear" w:color="auto" w:fill="F2F2F2"/>
        <w:spacing w:after="165" w:line="288" w:lineRule="atLeast"/>
        <w:outlineLvl w:val="2"/>
        <w:rPr>
          <w:rFonts w:ascii="PtSansBold" w:eastAsia="Times New Roman" w:hAnsi="PtSansBold" w:cs="Times New Roman"/>
          <w:color w:val="333333"/>
          <w:sz w:val="32"/>
          <w:szCs w:val="32"/>
          <w:lang w:eastAsia="ru-RU"/>
        </w:rPr>
      </w:pPr>
      <w:r w:rsidRPr="00335A2A">
        <w:rPr>
          <w:rFonts w:ascii="PtSansBold" w:eastAsia="Times New Roman" w:hAnsi="PtSansBold" w:cs="Times New Roman"/>
          <w:color w:val="333333"/>
          <w:sz w:val="32"/>
          <w:szCs w:val="32"/>
          <w:lang w:eastAsia="ru-RU"/>
        </w:rPr>
        <w:t> </w:t>
      </w:r>
    </w:p>
    <w:p w:rsidR="00335A2A" w:rsidRPr="00335A2A" w:rsidRDefault="00335A2A" w:rsidP="00335A2A">
      <w:pPr>
        <w:shd w:val="clear" w:color="auto" w:fill="F2F2F2"/>
        <w:spacing w:after="165" w:line="288" w:lineRule="atLeast"/>
        <w:outlineLvl w:val="2"/>
        <w:rPr>
          <w:rFonts w:ascii="PtSansBold" w:eastAsia="Times New Roman" w:hAnsi="PtSansBold" w:cs="Times New Roman"/>
          <w:color w:val="333333"/>
          <w:sz w:val="32"/>
          <w:szCs w:val="32"/>
          <w:lang w:eastAsia="ru-RU"/>
        </w:rPr>
      </w:pPr>
      <w:r w:rsidRPr="00335A2A">
        <w:rPr>
          <w:rFonts w:ascii="PtSansBold" w:eastAsia="Times New Roman" w:hAnsi="PtSansBold" w:cs="Times New Roman"/>
          <w:color w:val="333333"/>
          <w:sz w:val="32"/>
          <w:szCs w:val="32"/>
          <w:lang w:eastAsia="ru-RU"/>
        </w:rPr>
        <w:t>Комиссия за организацию кредита</w:t>
      </w:r>
    </w:p>
    <w:tbl>
      <w:tblPr>
        <w:tblW w:w="14940" w:type="dxa"/>
        <w:tblCellSpacing w:w="15" w:type="dxa"/>
        <w:tblBorders>
          <w:top w:val="single" w:sz="12" w:space="0" w:color="999999"/>
          <w:bottom w:val="single" w:sz="12" w:space="0" w:color="D3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10197"/>
      </w:tblGrid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Рубли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Комиссия за организацию кредита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gridSpan w:val="2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Досрочное погашение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Полное досрочное погашение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в любую дату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ind w:left="600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  <w:t>Частичное досрочное погашение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в любую дату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lastRenderedPageBreak/>
              <w:t>Минимальная сумма досрочного погашения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Мораторий на досрочное погашение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Комиссия за досрочное погашение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before="150" w:after="150" w:line="288" w:lineRule="atLeast"/>
              <w:rPr>
                <w:rFonts w:ascii="PtSans" w:eastAsia="Times New Roman" w:hAnsi="PtSans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35A2A" w:rsidRPr="00335A2A" w:rsidTr="00335A2A">
        <w:trPr>
          <w:trHeight w:val="735"/>
          <w:tblCellSpacing w:w="15" w:type="dxa"/>
        </w:trPr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PtSansBold" w:eastAsia="Times New Roman" w:hAnsi="PtSansBold" w:cs="Times New Roman"/>
                <w:color w:val="4F575E"/>
                <w:sz w:val="20"/>
                <w:szCs w:val="20"/>
                <w:lang w:eastAsia="ru-RU"/>
              </w:rPr>
              <w:t>Неустойка</w:t>
            </w: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lang w:eastAsia="ru-RU"/>
              </w:rPr>
              <w:t> </w:t>
            </w: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за несвоевременное погашение задолженности по кредиту</w:t>
            </w:r>
          </w:p>
        </w:tc>
        <w:tc>
          <w:tcPr>
            <w:tcW w:w="0" w:type="auto"/>
            <w:tcBorders>
              <w:top w:val="dotted" w:sz="12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35A2A" w:rsidRPr="00335A2A" w:rsidRDefault="00335A2A" w:rsidP="003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</w:pPr>
            <w:r w:rsidRPr="00335A2A">
              <w:rPr>
                <w:rFonts w:ascii="Times New Roman" w:eastAsia="Times New Roman" w:hAnsi="Times New Roman" w:cs="Times New Roman"/>
                <w:color w:val="4F575E"/>
                <w:sz w:val="20"/>
                <w:szCs w:val="20"/>
                <w:lang w:eastAsia="ru-RU"/>
              </w:rPr>
              <w:t>20% годовых, начисляемых на сумму просроченной задолженности по кредиту за период с даты, когда соответствующая сумма подлежала уплате, по дату ее фактической выплаты Банку включительно</w:t>
            </w:r>
          </w:p>
        </w:tc>
      </w:tr>
    </w:tbl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Times New Roman"/>
          <w:color w:val="000000"/>
          <w:sz w:val="27"/>
          <w:szCs w:val="27"/>
          <w:lang w:eastAsia="ru-RU"/>
        </w:rPr>
      </w:pPr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Комиссия за выдачу наличных денежных средств, предоставленных Банком в рамках потребительского кредита, не взимается в течение 5-ти рабочих дней со дня начисления кредита, с 6 рабочего дня комиссия составит 1% от суммы снятия (мин. 100 рублей). При переводе денежных средств на счет получателя в другом банке (в рублях) по платежному поручению, переданному по системе Enter.UniCredit, комиссия 1% от суммы (мин. 50 рублей, макс. 1500 рублей); переданному другими средствами связи — 1,5% от суммы (мин. 100 рублей, макс. 2000 рублей); по заявлению на регулярное перечисление денежных средств — 1% от суммы (мин. 50 рублей, макс. 1500 рублей). В остальных случаях комиссия не взимается.</w:t>
      </w:r>
    </w:p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Times New Roman"/>
          <w:color w:val="000000"/>
          <w:sz w:val="27"/>
          <w:szCs w:val="27"/>
          <w:lang w:eastAsia="ru-RU"/>
        </w:rPr>
      </w:pPr>
      <w:r w:rsidRPr="00335A2A">
        <w:rPr>
          <w:rFonts w:ascii="PtSansBold" w:eastAsia="Times New Roman" w:hAnsi="PtSansBold" w:cs="Times New Roman"/>
          <w:color w:val="FF2D41"/>
          <w:sz w:val="14"/>
          <w:vertAlign w:val="superscript"/>
          <w:lang w:eastAsia="ru-RU"/>
        </w:rPr>
        <w:t>1</w:t>
      </w:r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 Сумма кредита рассчитывается Банком индивидуально каждому заемщику и указывается в соответствующих параметрах потребительского кредита.</w:t>
      </w:r>
    </w:p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Times New Roman"/>
          <w:color w:val="000000"/>
          <w:sz w:val="27"/>
          <w:szCs w:val="27"/>
          <w:lang w:eastAsia="ru-RU"/>
        </w:rPr>
      </w:pPr>
      <w:r w:rsidRPr="00335A2A">
        <w:rPr>
          <w:rFonts w:ascii="PtSansBold" w:eastAsia="Times New Roman" w:hAnsi="PtSansBold" w:cs="Times New Roman"/>
          <w:color w:val="FF2D41"/>
          <w:sz w:val="14"/>
          <w:vertAlign w:val="superscript"/>
          <w:lang w:eastAsia="ru-RU"/>
        </w:rPr>
        <w:t>2</w:t>
      </w:r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 Для клиентов, имеющих кредит в АО ЮниКредит Банке, который открыт &gt;= 6 месяцев назад или закрыт не более 6 месяцев назад, и имеющих положительную кредитную историю в любом банке РФ, процентная ставка 19,9% годовых, максимальная сумма 700 000 рублей. Для клиентов без кредитной истории в АО ЮниКредит Банке, но с положительной кредитной историей в любом банке РФ (кредит должен быть открыт &gt;= 6 месяцев назад или закрыт не более 6 месяцев назад), процентная ставка 20,9% годовых, максимальная сумма 700 000 рублей. Для клиентов, у которых отсутствует кредитная история, процентная ставка 22,9% годовых, максимальная сумма 500 000 рублей.</w:t>
      </w:r>
    </w:p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Times New Roman"/>
          <w:color w:val="000000"/>
          <w:sz w:val="27"/>
          <w:szCs w:val="27"/>
          <w:lang w:eastAsia="ru-RU"/>
        </w:rPr>
      </w:pPr>
      <w:r w:rsidRPr="00335A2A">
        <w:rPr>
          <w:rFonts w:ascii="PtSansBold" w:eastAsia="Times New Roman" w:hAnsi="PtSansBold" w:cs="Times New Roman"/>
          <w:color w:val="FF2D41"/>
          <w:sz w:val="14"/>
          <w:vertAlign w:val="superscript"/>
          <w:lang w:eastAsia="ru-RU"/>
        </w:rPr>
        <w:t>3</w:t>
      </w:r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 Для зарплатных клиентов, имеющих положительную кредитную историю в любом банке РФ (кредит должен быть открыт &gt;= 6 месяцев назад или закрыт не более 6 месяцев назад), максимальная сумма 1 000 000 рублей. Для клиентов, у которых отсутствует кредитная история в любом банке РФ, максимальная сумма 800 000 рублей.</w:t>
      </w:r>
    </w:p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Times New Roman"/>
          <w:color w:val="000000"/>
          <w:sz w:val="27"/>
          <w:szCs w:val="27"/>
          <w:lang w:eastAsia="ru-RU"/>
        </w:rPr>
      </w:pPr>
      <w:r w:rsidRPr="00335A2A">
        <w:rPr>
          <w:rFonts w:ascii="PtSansBold" w:eastAsia="Times New Roman" w:hAnsi="PtSansBold" w:cs="Times New Roman"/>
          <w:color w:val="FF2D41"/>
          <w:sz w:val="14"/>
          <w:vertAlign w:val="superscript"/>
          <w:lang w:eastAsia="ru-RU"/>
        </w:rPr>
        <w:t>4 </w:t>
      </w:r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Зарплатные клиенты Банка — сотрудники компаний/организаций, обслуживающихся в Банке по «Договору на оказание дополнительных услуг по расчетному обслуживанию» или «Договору на оказание дополнительных услуг по расчетному обслуживанию с использованием специального счета», и произведено хотя бы одно перечисление на счет в каждом месяце за последние три месяца с признаком поступления заработной платы.</w:t>
      </w:r>
    </w:p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Times New Roman"/>
          <w:color w:val="000000"/>
          <w:sz w:val="27"/>
          <w:szCs w:val="27"/>
          <w:lang w:eastAsia="ru-RU"/>
        </w:rPr>
      </w:pPr>
      <w:r w:rsidRPr="00335A2A">
        <w:rPr>
          <w:rFonts w:ascii="PtSansBold" w:eastAsia="Times New Roman" w:hAnsi="PtSansBold" w:cs="Times New Roman"/>
          <w:color w:val="FF2D41"/>
          <w:sz w:val="14"/>
          <w:vertAlign w:val="superscript"/>
          <w:lang w:eastAsia="ru-RU"/>
        </w:rPr>
        <w:t>5</w:t>
      </w:r>
      <w:r>
        <w:rPr>
          <w:rFonts w:ascii="PtSans" w:eastAsia="Times New Roman" w:hAnsi="PtSans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81025" cy="381000"/>
            <wp:effectExtent l="19050" t="0" r="9525" b="0"/>
            <wp:wrapSquare wrapText="bothSides"/>
            <wp:docPr id="2" name="Рисунок 2" descr="https://www.unicreditbank.ru/content/dam/cee2020-pws-ru/Other/Logos/yandex_auto_logo_40x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creditbank.ru/content/dam/cee2020-pws-ru/Other/Logos/yandex_auto_logo_40x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 Автомобиль должен находиться в собственности заемщика, категория автомобиля В. Автомобиль иностранного производства должен быть не старше 6 лет, автомобиль российского производства должен быть не старше 5 лет. Стоимость автомобиля должна быть более 250 000 рубей. Для оценки стоимости автомобиля используются данные </w:t>
      </w:r>
      <w:hyperlink r:id="rId5" w:tgtFrame="_blank" w:history="1">
        <w:r w:rsidRPr="00335A2A">
          <w:rPr>
            <w:rFonts w:ascii="PtSans" w:eastAsia="Times New Roman" w:hAnsi="PtSans" w:cs="Times New Roman"/>
            <w:color w:val="4077B2"/>
            <w:sz w:val="18"/>
            <w:lang w:eastAsia="ru-RU"/>
          </w:rPr>
          <w:t>Яндекс.Авто</w:t>
        </w:r>
      </w:hyperlink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.</w:t>
      </w:r>
    </w:p>
    <w:p w:rsidR="00335A2A" w:rsidRPr="00335A2A" w:rsidRDefault="00335A2A" w:rsidP="00335A2A">
      <w:pPr>
        <w:shd w:val="clear" w:color="auto" w:fill="F2F2F2"/>
        <w:spacing w:before="150" w:after="150" w:line="330" w:lineRule="atLeast"/>
        <w:rPr>
          <w:rFonts w:ascii="PtSans" w:eastAsia="Times New Roman" w:hAnsi="PtSans" w:cs="Times New Roman"/>
          <w:color w:val="000000"/>
          <w:sz w:val="27"/>
          <w:szCs w:val="27"/>
          <w:lang w:eastAsia="ru-RU"/>
        </w:rPr>
      </w:pPr>
      <w:r w:rsidRPr="00335A2A">
        <w:rPr>
          <w:rFonts w:ascii="PtSans" w:eastAsia="Times New Roman" w:hAnsi="PtSans" w:cs="Times New Roman"/>
          <w:color w:val="606060"/>
          <w:sz w:val="18"/>
          <w:lang w:eastAsia="ru-RU"/>
        </w:rPr>
        <w:t>Условия предоставления потребительского кредита, включая процентные ставки, могут меняться. Перед подписанием договора необходимо ознакомиться с действующими условиями предоставления потребительского кредита.</w:t>
      </w:r>
    </w:p>
    <w:p w:rsidR="003936A4" w:rsidRDefault="00335A2A"/>
    <w:sectPr w:rsidR="003936A4" w:rsidSect="00D1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A2A"/>
    <w:rsid w:val="0014727D"/>
    <w:rsid w:val="00335A2A"/>
    <w:rsid w:val="00D13B0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E"/>
  </w:style>
  <w:style w:type="paragraph" w:styleId="3">
    <w:name w:val="heading 3"/>
    <w:basedOn w:val="a"/>
    <w:link w:val="30"/>
    <w:uiPriority w:val="9"/>
    <w:qFormat/>
    <w:rsid w:val="00335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35A2A"/>
  </w:style>
  <w:style w:type="character" w:customStyle="1" w:styleId="apple-converted-space">
    <w:name w:val="apple-converted-space"/>
    <w:basedOn w:val="a0"/>
    <w:rsid w:val="00335A2A"/>
  </w:style>
  <w:style w:type="character" w:customStyle="1" w:styleId="note">
    <w:name w:val="note"/>
    <w:basedOn w:val="a0"/>
    <w:rsid w:val="00335A2A"/>
  </w:style>
  <w:style w:type="character" w:styleId="a4">
    <w:name w:val="Hyperlink"/>
    <w:basedOn w:val="a0"/>
    <w:uiPriority w:val="99"/>
    <w:semiHidden/>
    <w:unhideWhenUsed/>
    <w:rsid w:val="00335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2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7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064">
                                  <w:marLeft w:val="0"/>
                                  <w:marRight w:val="15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458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3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127">
                                  <w:marLeft w:val="0"/>
                                  <w:marRight w:val="15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33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6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3402">
                                  <w:marLeft w:val="0"/>
                                  <w:marRight w:val="15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85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0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yandex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4559</Characters>
  <Application>Microsoft Office Word</Application>
  <DocSecurity>0</DocSecurity>
  <Lines>37</Lines>
  <Paragraphs>10</Paragraphs>
  <ScaleCrop>false</ScaleCrop>
  <Company>Melkosoft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2016-06-15T14:27:00Z</dcterms:created>
  <dcterms:modified xsi:type="dcterms:W3CDTF">2016-06-15T14:27:00Z</dcterms:modified>
</cp:coreProperties>
</file>