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EF" w:rsidRPr="000009EF" w:rsidRDefault="000009EF" w:rsidP="000009EF">
      <w:pPr>
        <w:spacing w:after="150" w:line="240" w:lineRule="auto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0009EF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ЗАКОН РФ от 29-05-92 2872-I О ЗАЛОГЕ (2016) Актуально в 2016 году</w:t>
      </w:r>
    </w:p>
    <w:p w:rsidR="000009EF" w:rsidRPr="000009EF" w:rsidRDefault="000009EF" w:rsidP="000009EF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color w:val="494949"/>
          <w:sz w:val="30"/>
          <w:szCs w:val="30"/>
          <w:lang w:eastAsia="ru-RU"/>
        </w:rPr>
      </w:pPr>
      <w:r w:rsidRPr="000009EF">
        <w:rPr>
          <w:rFonts w:ascii="Arial" w:eastAsia="Times New Roman" w:hAnsi="Arial" w:cs="Arial"/>
          <w:color w:val="494949"/>
          <w:sz w:val="30"/>
          <w:szCs w:val="30"/>
          <w:lang w:eastAsia="ru-RU"/>
        </w:rPr>
        <w:t>Раздел I. Общие положения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4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1. Понятие залога</w:t>
        </w:r>
      </w:hyperlink>
      <w:bookmarkStart w:id="0" w:name="7f019"/>
      <w:bookmarkEnd w:id="0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Залог - способ обеспечения обязательства, при котором кредитор - залогодержатель приобретает право в случае неисполнения должником обязательства получить удовлетворение за счет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" w:name="bec25"/>
      <w:bookmarkEnd w:id="1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заложенного имущества преимущественно перед другими кредиторами за изъятиями, предусмотренными законом.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5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2. Законодательство Российской Федерации о залоге</w:t>
        </w:r>
      </w:hyperlink>
      <w:bookmarkStart w:id="2" w:name="a89f8"/>
      <w:bookmarkEnd w:id="2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Настоящим Законом определяются основные положения о залоге.</w:t>
      </w:r>
      <w:bookmarkStart w:id="3" w:name="745e9"/>
      <w:bookmarkEnd w:id="3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Отношения залога, не урегулированные настоящим Законом, регулируются иными актами законодательства Российской Федерации.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Если международным договором Российской Федерации установлены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4" w:name="bdc1f"/>
      <w:bookmarkEnd w:id="4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иные правила о залоге, чем те, которые содержатся в актах законодательства Российской Федерации, то применяются правила международного договора.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6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3. Основания возникновения залога</w:t>
        </w:r>
      </w:hyperlink>
      <w:bookmarkStart w:id="5" w:name="5202a"/>
      <w:bookmarkEnd w:id="5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Залог возникает в силу договора или закона.</w:t>
      </w:r>
      <w:bookmarkStart w:id="6" w:name="c5342"/>
      <w:bookmarkEnd w:id="6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Закон, предусматривающий возникновение залога, должен содержать указание на то, в силу какого обязательства и какое именно имущество должно признаваться находящимся в залоге.</w:t>
      </w:r>
      <w:bookmarkStart w:id="7" w:name="54e5d"/>
      <w:bookmarkEnd w:id="7"/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7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4. Сфера применения залога</w:t>
        </w:r>
      </w:hyperlink>
      <w:bookmarkStart w:id="8" w:name="c2eb3"/>
      <w:bookmarkEnd w:id="8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Залогом может быть обеспечено действительное требование, в частности, вытекающее из договора займа, в том числе банковской ссуды, договоров купли - продажи, имущественного найма, перевозки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9" w:name="a34c9"/>
      <w:bookmarkEnd w:id="9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грузов и иных договоров.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Предметом залога могут быть вещи, ценные бумаги, иное имущество и имущественные права.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Предметом залога не могут быть требования, носящие личный характер, а также иные требования, залог которых запрещен законом.</w:t>
      </w:r>
      <w:bookmarkStart w:id="10" w:name="97f9f"/>
      <w:bookmarkEnd w:id="10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Залог может устанавливаться в отношении требований, которые возникнут в будущем, при условии, если стороны договорятся о размере обеспечения залогом таких требований.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Залог производен от обеспечиваемого им обязательства.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1" w:name="326d7"/>
      <w:bookmarkEnd w:id="11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Существование прав залогодержателя находится в зависимости от судьбы обеспечиваемого залогом обязательства.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8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5. Виды залога</w:t>
        </w:r>
      </w:hyperlink>
      <w:bookmarkStart w:id="12" w:name="b8d17"/>
      <w:bookmarkEnd w:id="12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Законом или договором может быть предусмотрено, что заложенное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3" w:name="f3c81"/>
      <w:bookmarkEnd w:id="13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имущество остается у залогодателя либо передается во владение залогодержателю (заклад).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Залог товаров может осуществляться путем передачи залогодержателю товарораспорядительного документа, являющегося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4" w:name="2871a"/>
      <w:bookmarkEnd w:id="14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ценной бумагой. Заложенные ценные бумаги могут быть переданы в депозит нотариальной конторы или банка.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9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6. Имущество как предмет залога</w:t>
        </w:r>
      </w:hyperlink>
      <w:bookmarkStart w:id="15" w:name="09c52"/>
      <w:bookmarkEnd w:id="15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Предметом залога может быть любое имущество, которое в соответствии с законодательством Российской Федерации может быть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6" w:name="1909c"/>
      <w:bookmarkEnd w:id="16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отчуждено залогодателем.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Залоговое право на вещи охватывает их принадлежности и неотделимые плоды, если иное не предусмотрено законом или договором. Залоговое право на вещи может включать отделимые плоды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7" w:name="63a9e"/>
      <w:bookmarkEnd w:id="17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только в случаях, в пределах и в порядке, предусмотренных законом или договором.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Договором или законом может быть предусмотрено распространение залога на вещи, которые могут быть приобретены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8" w:name="f9526"/>
      <w:bookmarkEnd w:id="18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залогодателем в будущем.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0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7. Залог имущества, находящегося в общей собственности</w:t>
        </w:r>
      </w:hyperlink>
      <w:bookmarkStart w:id="19" w:name="22fb3"/>
      <w:bookmarkEnd w:id="19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Имущество, находящееся в общей совместной собственности, может быть передано в залог только с согласия всех собственников.</w:t>
      </w:r>
      <w:bookmarkStart w:id="20" w:name="17497"/>
      <w:bookmarkEnd w:id="20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Залог собственником своей доли в общей долевой собственности не требует согласия остальных собственников.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Собственник квартиры самостоятельно решает вопрос о сдаче ее в залог.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1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8. Замена предмета залога</w:t>
        </w:r>
      </w:hyperlink>
      <w:bookmarkStart w:id="21" w:name="01b91"/>
      <w:bookmarkEnd w:id="21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Замена предмета залога допускается только с согласия залогодержателя. Порядок замены предмета залога при залоге товаров в обороте регулируется статьями 46 и 47 настоящего Закона.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2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9. Залог и страхование</w:t>
        </w:r>
      </w:hyperlink>
      <w:bookmarkStart w:id="22" w:name="73ecc"/>
      <w:bookmarkEnd w:id="22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Законом или договором на залогодержателя может возлагаться обязанность страховать переданное в его владение заложенное имущество.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Ломбард обязан страховать за счет залогодателя принятое в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23" w:name="661b8"/>
      <w:bookmarkEnd w:id="23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залог имущество в его полной стоимости по оценке, произведенной по соглашению сторон при принятии имущества в залог.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Законом или договором на залогодателя может возлагаться обязанность страхования на случай совершения государственными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24" w:name="df851"/>
      <w:bookmarkEnd w:id="24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органами действий и принятия ими актов, прекращающих его хозяйственную деятельность, либо препятствующих ей, или неблагоприятно влияющих на нее (конфискация, реквизиция имущества), а также ликвидации или признания неплатежеспособным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25" w:name="be211"/>
      <w:bookmarkEnd w:id="25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должником.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3. При наступлении страховых случаев залогодержатель имеет право преимущественного удовлетворения своих требований из суммы страхового возмещения.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3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10. Содержание и форма договора о залоге</w:t>
        </w:r>
      </w:hyperlink>
      <w:bookmarkStart w:id="26" w:name="cb446"/>
      <w:bookmarkEnd w:id="26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В договоре о залоге должны содержаться условия, предусматривающие вид залога, существо обеспеченного залогом требования, его размер, сроки исполнения обязательства, состав и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27" w:name="6a082"/>
      <w:bookmarkEnd w:id="27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стоимость заложенного имущества, а также любые иные условия, относительно которых по заявлению одной из сторон должно быть достигнуто согласие.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Договор о залоге должен совершаться в письменной форме.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Договор о залоге, обеспечивающем обязательства, возникающие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28" w:name="8baa7"/>
      <w:bookmarkEnd w:id="28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из основного договора, подлежащего нотариальному удостоверению либо нотариально удостоверенному по соглашению сторон, должен быть также удостоверен в органе, удостоверившем основной договор.</w:t>
      </w:r>
      <w:bookmarkStart w:id="29" w:name="59c8b"/>
      <w:bookmarkEnd w:id="29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Условие о залоге может быть включено в договор, по которому возникает обеспеченное залогом обязательство. Такой договор должен быть совершен в форме, установленной для договора о залоге.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 Форма договора о залоге определяется по законодательству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30" w:name="10077"/>
      <w:bookmarkEnd w:id="30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места его заключения. Договор о залоге, заключенный за пределами Российской Федерации, не может быть признан недействительным вследствие несоблюдения формы, если соблюдены требования, установленные законодательством Российской Федерации.</w:t>
      </w:r>
      <w:bookmarkStart w:id="31" w:name="2552c"/>
      <w:bookmarkEnd w:id="31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Форма договора о залоге зданий, сооружений, предприятий, земельных участков и других объектов, находящихся на территории Российской Федерации, а также подвижного состава железных дорог,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32" w:name="f424f"/>
      <w:bookmarkEnd w:id="32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гражданских воздушных, морских и речных судов, космических объектов, зарегистрированных в Российской Федерации, независимо от места заключения такого договора определяется законодательством Российской Федерации.</w:t>
      </w:r>
      <w:bookmarkStart w:id="33" w:name="eb1e3"/>
      <w:bookmarkEnd w:id="33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6. Права и обязанности сторон договора о залоге определяются по законодательству страны, где учреждена, имеет место жительства или основное место деятельности сторона, являющаяся залогодателем, если иное не установлено соглашением сторон.</w:t>
      </w:r>
      <w:bookmarkStart w:id="34" w:name="5c0af"/>
      <w:bookmarkEnd w:id="34"/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4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11. Государственная регистрация залога</w:t>
        </w:r>
      </w:hyperlink>
      <w:bookmarkStart w:id="35" w:name="26a5e"/>
      <w:bookmarkEnd w:id="35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Залог предприятия в целом или иного имущества, подлежащего государственной регистрации, должен быть зарегистрирован в органе, осуществляющем такую регистрацию, если настоящим Законом не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36" w:name="c6086"/>
      <w:bookmarkEnd w:id="36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установлен иной порядок регистрации.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Если залог имущества подлежит государственной регистрации, то договор о залоге считается заключенным с момента его регистрации.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5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12. Последствия несоблюдения формы договора о залоге</w:t>
        </w:r>
      </w:hyperlink>
      <w:bookmarkStart w:id="37" w:name="7f783"/>
      <w:bookmarkEnd w:id="37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Несоблюдение установленной формы договора о залоге влечет за собой недействительность договора с последствиями, предусмотренными законодательством Российской Федерации.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6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13. Обжалование действий, связанных с регистрацией залога</w:t>
        </w:r>
      </w:hyperlink>
      <w:bookmarkStart w:id="38" w:name="62b6a"/>
      <w:bookmarkEnd w:id="38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Заинтересованное лицо вправе обжаловать отказ в регистрации или незаконное совершение регистрации залога в суд по месту нахождения органа, осуществляющего регистрацию.</w:t>
      </w:r>
      <w:bookmarkStart w:id="39" w:name="0ab0e"/>
      <w:bookmarkEnd w:id="39"/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7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14. Информация о регистрации залога</w:t>
        </w:r>
      </w:hyperlink>
      <w:bookmarkStart w:id="40" w:name="b0219"/>
      <w:bookmarkEnd w:id="40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Орган, осуществляющий регистрацию залога, обязан выдавать залогодержателю и залогодателю свидетельства о регистрации, а также выписки из реестра по запросу залогодержателя, залогодателя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41" w:name="4e099"/>
      <w:bookmarkEnd w:id="41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 других заинтересованных лиц.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8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15. Государственная пошлина за регистрацию залога</w:t>
        </w:r>
      </w:hyperlink>
      <w:bookmarkStart w:id="42" w:name="26371"/>
      <w:bookmarkEnd w:id="42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 регистрацию залога, выдачу свидетельства о регистрации, а также предоставление выписок из реестра взимается государственная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43" w:name="39287"/>
      <w:bookmarkEnd w:id="43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пошлина в размере, определенном законодательными актами Российской Федерации. Заявитель предоставляет органу, осуществляющему регистрацию, доказательства уплаты государственной пошлины. При отсутствии таких доказательств заявление оставляется без движения.</w:t>
      </w:r>
      <w:bookmarkStart w:id="44" w:name="2ff41"/>
      <w:bookmarkEnd w:id="44"/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9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16. Ответственность органа, осуществляющего регистрацию</w:t>
        </w:r>
      </w:hyperlink>
      <w:bookmarkStart w:id="45" w:name="c92b3"/>
      <w:bookmarkEnd w:id="45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Орган, на который возложена регистрация залога, несет ответственность за вред, причиненный в результате нарушения его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46" w:name="6f861"/>
      <w:bookmarkEnd w:id="46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работниками правил регистрации.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20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17. Регистрация исполнения обязательства, обеспеченного залогом</w:t>
        </w:r>
      </w:hyperlink>
      <w:bookmarkStart w:id="47" w:name="cb980"/>
      <w:bookmarkEnd w:id="47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Залогодержатель по требованию залогодателя обязан выдать ему документы, подтверждающие полное или частичное исполнение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48" w:name="cf81d"/>
      <w:bookmarkEnd w:id="48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обязательства для последующего внесения соответствующих сведений в реестр.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При получении документов, подтверждающих полное или частичное исполнение обеспеченного залогом обязательства, орган,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49" w:name="a112e"/>
      <w:bookmarkEnd w:id="49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осуществивший регистрацию залога, обязан незамедлительно внести соответствующую запись в реестр.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21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18. Ведение залогодателем книги записи залога</w:t>
        </w:r>
      </w:hyperlink>
      <w:bookmarkStart w:id="50" w:name="e5f49"/>
      <w:bookmarkEnd w:id="50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Залогодатели - юридические лица и физические лица,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51" w:name="5cd76"/>
      <w:bookmarkEnd w:id="51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зарегистрированные в качестве предпринимателей, обязаны: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вести книгу записи залогов;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не позднее десяти дней после возникновения залога вносить в книгу запись, содержащую данные о виде и предмете залога, а также объеме обеспеченности залогом обязательства;</w:t>
      </w:r>
      <w:bookmarkStart w:id="52" w:name="5a57c"/>
      <w:bookmarkEnd w:id="52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предоставлять книгу для ознакомления любому заинтересованному лицу.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2. Залогодатель несет ответственность за своевременность и правильность внесения сведений о залоге в книгу записи залогов.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53" w:name="2a618"/>
      <w:bookmarkEnd w:id="53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Залогодатель обязан возместить потерпевшим в полном объеме убытки, причиненные несвоевременностью внесения записей в книгу, их неполнотой или неточностью, а также уклонением от обязанности предоставлять книгу записи залогов для ознакомления.</w:t>
      </w:r>
      <w:bookmarkStart w:id="54" w:name="74010"/>
      <w:bookmarkEnd w:id="54"/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22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19. Залогодатель</w:t>
        </w:r>
      </w:hyperlink>
      <w:bookmarkStart w:id="55" w:name="11aad"/>
      <w:bookmarkEnd w:id="55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Залогодателем может быть лицо, которому предмет залога принадлежит на праве собственности или полного хозяйственного ведения.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Предприятие, за которым имущество закреплено на праве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56" w:name="6cc27"/>
      <w:bookmarkEnd w:id="56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полного хозяйственного ведения, осуществляет залог предприятия в целом, его структурных единиц и подразделений как имущественных комплексов, а также отдельных зданий и сооружений с согласия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57" w:name="7d779"/>
      <w:bookmarkEnd w:id="57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собственника этого имущества или уполномоченного им органа.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Учреждение может передавать в залог имущество, в отношении которого оно в соответствии с законом приобрело право на самостоятельное распоряжение.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Залогодателем прав может быть лицо, которому принадлежит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58" w:name="55836"/>
      <w:bookmarkEnd w:id="58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передаваемое в залог право.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Арендатор может передавать свои арендные права в залог без согласия арендодателя, если иное не предусмотрено договором аренды.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23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20. Право распоряжения заложенным имуществом</w:t>
        </w:r>
      </w:hyperlink>
      <w:bookmarkStart w:id="59" w:name="1d703"/>
      <w:bookmarkEnd w:id="59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Залогодатель сохраняет право распоряжения заложенным имуществом, если иное не предусмотрено законом или договором о залоге.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 этом переход права на заложенное имущество возможен только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60" w:name="31c38"/>
      <w:bookmarkEnd w:id="60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 переходом к новому залогодателю основного долга, обеспеченного залогом.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24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21. Последующий залог заложенного имущества</w:t>
        </w:r>
      </w:hyperlink>
      <w:bookmarkStart w:id="61" w:name="5d873"/>
      <w:bookmarkEnd w:id="61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Последующие залоги уже заложенного имущества допускаются, если иное не предусмотрено настоящим Законом и предшествующими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62" w:name="c653b"/>
      <w:bookmarkEnd w:id="62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договорами о залоге.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25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22. Право предшествующего залогодержателя</w:t>
        </w:r>
      </w:hyperlink>
      <w:bookmarkStart w:id="63" w:name="e44b2"/>
      <w:bookmarkEnd w:id="63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Если предметом залога становится заложенное имущество, которое уже служит залоговым обеспечением иного обязательства,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64" w:name="c7b6f"/>
      <w:bookmarkEnd w:id="64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залоговое право предшествующего залогодержателя сохраняет силу.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Требования последующего залогодержателя удовлетворяются из стоимости предмета залога после удовлетворения требований предшествующего залогодержателя.</w:t>
      </w:r>
      <w:bookmarkStart w:id="65" w:name="48fd8"/>
      <w:bookmarkEnd w:id="65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Залогодатель обязан сообщать каждому последующему залогодержателю обо всех существующих залогах данного имущества, а также о характере и размере обеспеченных этими залогами обязательств. Залогодатель обязан возместить убытки, возникшие у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66" w:name="9e992"/>
      <w:bookmarkEnd w:id="66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любого из его залогодержателей вследствие неисполнения этой обязанности.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26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23. Требования залогодержателя, удовлетворяемые за счет заложенного имущества</w:t>
        </w:r>
      </w:hyperlink>
      <w:bookmarkStart w:id="67" w:name="39c82"/>
      <w:bookmarkEnd w:id="67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 счет заложенного имущества залогодержатель вправе удовлетворить свои требования в полном объеме, определяемом к моменту фактического удовлетворения, включая проценты, убытки, причиненные просрочкой исполнения, а в случаях, предусмотренных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68" w:name="d6a36"/>
      <w:bookmarkEnd w:id="68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законом или договором, - неустойку; возмещению подлежат также необходимые издержки по содержанию заложенного имущества и расходы по осуществлению обеспеченного залогом требования.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27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24. Возникновение права обращения взыскания на предмет залога</w:t>
        </w:r>
      </w:hyperlink>
      <w:bookmarkStart w:id="69" w:name="f0e82"/>
      <w:bookmarkEnd w:id="69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Залогодержатель приобретает право обратить взыскание на предмет залога, если в момент наступления срока исполнения обязательства, обеспеченного залогом, оно не будет исполнено, за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70" w:name="10b1d"/>
      <w:bookmarkEnd w:id="70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исключением случаев, когда по закону или договору такое право возникает позже либо в силу закона взыскание может быть осуществлено ранее.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28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25. Предмет залога при частичном исполнении обязательства</w:t>
        </w:r>
      </w:hyperlink>
      <w:bookmarkStart w:id="71" w:name="822de"/>
      <w:bookmarkEnd w:id="71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случае частичного исполнения должником обеспеченного залогом обязательства залог сохраняется в первоначальном объеме до полного исполнения обеспеченного им обязательства, если иное не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72" w:name="6561a"/>
      <w:bookmarkEnd w:id="72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предусмотрено законом или договором.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29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26. Удовлетворение требования залогодержателя из предмета залога, состоящего из нескольких вещей (прав)</w:t>
        </w:r>
      </w:hyperlink>
      <w:bookmarkStart w:id="73" w:name="134b7"/>
      <w:bookmarkEnd w:id="73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Если предметом залога является несколько вещей или прав,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74" w:name="d57af"/>
      <w:bookmarkEnd w:id="74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залогодержатель по своему выбору может получить удовлетворение за счет всего этого имущества либо за счет какой-либо из вещей (прав), сохраняя возможность впоследствии получить удовлетворение за счет других вещей (прав), составляющих предмет залога.</w:t>
      </w:r>
      <w:bookmarkStart w:id="75" w:name="f810c"/>
      <w:bookmarkEnd w:id="75"/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30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27. Последствия удовлетворения требования залогодержателя третьим лицом</w:t>
        </w:r>
      </w:hyperlink>
      <w:bookmarkStart w:id="76" w:name="25775"/>
      <w:bookmarkEnd w:id="76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случае удовлетворения требования залогодержателя третьим лицом к нему вместе с правом требования переходит обеспечивающее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77" w:name="a5b29"/>
      <w:bookmarkEnd w:id="77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его право залога в порядке, предусмотренном законодательством Российской Федерации для уступки требования.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31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28. Порядок обращения взыскания на заложенное имущество</w:t>
        </w:r>
      </w:hyperlink>
      <w:bookmarkStart w:id="78" w:name="c5e03"/>
      <w:bookmarkEnd w:id="78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Обращение взыскания на заложенное имущество производится по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79" w:name="b9b7c"/>
      <w:bookmarkEnd w:id="79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решению суда, арбитражного суда или третейского суда, если иное не предусмотрено законом. В случаях, предусмотренных законодательством Российской Федерации, обращение взыскания на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80" w:name="b4b5b"/>
      <w:bookmarkEnd w:id="80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заложенное имущество осуществляется в бесспорном порядке на основании исполнительной надписи нотариуса.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2. Реализация заложенного имущества, на которое обращается взыскание, осуществляется в соответствии с гражданским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81" w:name="0be8f"/>
      <w:bookmarkEnd w:id="81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процессуальным законодательством Российской Федерации, если иное не предусмотрено настоящим Законом или договором.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Перечень имущества граждан, на которое не может быть обращено взыскание, устанавливается Гражданским процессуальным кодексом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82" w:name="71bc1"/>
      <w:bookmarkEnd w:id="82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Российской Федерации.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32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29. Удовлетворение требований залогодержателя при недостаточности суммы, вырученной от реализации предмета залога</w:t>
        </w:r>
      </w:hyperlink>
      <w:bookmarkStart w:id="83" w:name="869b3"/>
      <w:bookmarkEnd w:id="83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случае, когда суммы, вырученной от продажи предмета залога,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84" w:name="1a245"/>
      <w:bookmarkEnd w:id="84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недостаточно для полного удовлетворения требований залогодержателя, он вправе, если иное не предусмотрено законом или договором, получить недостающую сумму из другого имущества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85" w:name="fdcf3"/>
      <w:bookmarkEnd w:id="85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должника, на которое может быть обращено взыскание в соответствии с законодательством Российской Федерации, не пользуясь при этом преимуществом, основанным на праве залога.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33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30. Возврат залогодателю суммы, вырученной при реализации предмета залога</w:t>
        </w:r>
      </w:hyperlink>
      <w:bookmarkStart w:id="86" w:name="ab14c"/>
      <w:bookmarkEnd w:id="86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Если сумма, вырученная при реализации предмета залога, превышает размер обеспеченных этим залогом требований залогодержателя, разница возвращается залогодателю.</w:t>
      </w:r>
      <w:bookmarkStart w:id="87" w:name="e76cd"/>
      <w:bookmarkEnd w:id="87"/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34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31. Прекращение обращения взыскания на заложенное имущество исполнением обязательства</w:t>
        </w:r>
      </w:hyperlink>
      <w:bookmarkStart w:id="88" w:name="2ff5f"/>
      <w:bookmarkEnd w:id="88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Залогодатель вправе в любое время до момента реализации предмета залога прекратить обращение взыскания на заложенное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89" w:name="6086a"/>
      <w:bookmarkEnd w:id="89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имущество посредством исполнения обеспеченного залогом обязательства.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Если обязательство, обеспеченное залогом, предусматривает исполнение по частям, залогодатель имеет право прекратить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90" w:name="24c55"/>
      <w:bookmarkEnd w:id="90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обращение взыскания на предмет залога посредством исполнения просроченной части обязательства.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Соглашения, ограничивающие права залогодателя, предусмотренные пунктами 1 и 2 настоящей статьи, недействительны.</w:t>
      </w:r>
      <w:bookmarkStart w:id="91" w:name="c4961"/>
      <w:bookmarkEnd w:id="91"/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35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32. Сохранение залога при переходе предмета залога к третьему лицу</w:t>
        </w:r>
      </w:hyperlink>
      <w:bookmarkStart w:id="92" w:name="ad905"/>
      <w:bookmarkEnd w:id="92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Залог сохраняет силу, если право собственности или полного хозяйственного ведения на заложенную вещь либо составляющее предмет залога право переходит к третьему лицу.</w:t>
      </w:r>
      <w:bookmarkStart w:id="93" w:name="02a0f"/>
      <w:bookmarkEnd w:id="93"/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36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33. Сохранение залога при уступке требования и переводе долга</w:t>
        </w:r>
      </w:hyperlink>
      <w:bookmarkStart w:id="94" w:name="66d4c"/>
      <w:bookmarkEnd w:id="94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случаях, когда в установленном законом порядке происходит уступка залогодержателем обеспеченного залогом требования третьему</w:t>
      </w:r>
      <w:r w:rsidRPr="000009E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95" w:name="94b7a"/>
      <w:bookmarkEnd w:id="95"/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лицу либо перевод залогодателем долга, возникшего из обеспеченного залогом обязательства, на другое лицо, залог сохраняет силу.</w:t>
      </w:r>
    </w:p>
    <w:p w:rsidR="000009EF" w:rsidRPr="000009EF" w:rsidRDefault="000009EF" w:rsidP="000009E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37" w:history="1">
        <w:r w:rsidRPr="000009E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34. Основания и последствия прекращения залога</w:t>
        </w:r>
      </w:hyperlink>
      <w:bookmarkStart w:id="96" w:name="09d20"/>
      <w:bookmarkEnd w:id="96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Право залога прекращается:</w:t>
      </w:r>
      <w:bookmarkStart w:id="97" w:name="86889"/>
      <w:bookmarkEnd w:id="97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при прекращении обеспеченного залогом обязательства;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при гибели заложенного имущества;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3) при истечении срока действия права, составляющего предмет залога;</w:t>
      </w:r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4) при переходе прав на предмет залога к залогодержателю;</w:t>
      </w:r>
      <w:bookmarkStart w:id="98" w:name="464d4"/>
      <w:bookmarkEnd w:id="98"/>
    </w:p>
    <w:p w:rsidR="000009EF" w:rsidRPr="000009EF" w:rsidRDefault="000009EF" w:rsidP="000009E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0009E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5) в иных случаях, предусмотренных законом.</w:t>
      </w:r>
    </w:p>
    <w:p w:rsidR="003936A4" w:rsidRDefault="000009EF"/>
    <w:sectPr w:rsidR="003936A4" w:rsidSect="009D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09EF"/>
    <w:rsid w:val="000009EF"/>
    <w:rsid w:val="0014727D"/>
    <w:rsid w:val="009D3BB8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B8"/>
  </w:style>
  <w:style w:type="paragraph" w:styleId="2">
    <w:name w:val="heading 2"/>
    <w:basedOn w:val="a"/>
    <w:link w:val="20"/>
    <w:uiPriority w:val="9"/>
    <w:qFormat/>
    <w:rsid w:val="00000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09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08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4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10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4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5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54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9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84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5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6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3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9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6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5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7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2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4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3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0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84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3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5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9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98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6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1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5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zakony/2872-1-ot-1992-05-29-o-zaloge/statja-5" TargetMode="External"/><Relationship Id="rId13" Type="http://schemas.openxmlformats.org/officeDocument/2006/relationships/hyperlink" Target="http://www.zakonprost.ru/zakony/2872-1-ot-1992-05-29-o-zaloge/statja-10" TargetMode="External"/><Relationship Id="rId18" Type="http://schemas.openxmlformats.org/officeDocument/2006/relationships/hyperlink" Target="http://www.zakonprost.ru/zakony/2872-1-ot-1992-05-29-o-zaloge/statja-15" TargetMode="External"/><Relationship Id="rId26" Type="http://schemas.openxmlformats.org/officeDocument/2006/relationships/hyperlink" Target="http://www.zakonprost.ru/zakony/2872-1-ot-1992-05-29-o-zaloge/statja-23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zakonprost.ru/zakony/2872-1-ot-1992-05-29-o-zaloge/statja-18" TargetMode="External"/><Relationship Id="rId34" Type="http://schemas.openxmlformats.org/officeDocument/2006/relationships/hyperlink" Target="http://www.zakonprost.ru/zakony/2872-1-ot-1992-05-29-o-zaloge/statja-31" TargetMode="External"/><Relationship Id="rId7" Type="http://schemas.openxmlformats.org/officeDocument/2006/relationships/hyperlink" Target="http://www.zakonprost.ru/zakony/2872-1-ot-1992-05-29-o-zaloge/statja-4" TargetMode="External"/><Relationship Id="rId12" Type="http://schemas.openxmlformats.org/officeDocument/2006/relationships/hyperlink" Target="http://www.zakonprost.ru/zakony/2872-1-ot-1992-05-29-o-zaloge/statja-9" TargetMode="External"/><Relationship Id="rId17" Type="http://schemas.openxmlformats.org/officeDocument/2006/relationships/hyperlink" Target="http://www.zakonprost.ru/zakony/2872-1-ot-1992-05-29-o-zaloge/statja-14" TargetMode="External"/><Relationship Id="rId25" Type="http://schemas.openxmlformats.org/officeDocument/2006/relationships/hyperlink" Target="http://www.zakonprost.ru/zakony/2872-1-ot-1992-05-29-o-zaloge/statja-22" TargetMode="External"/><Relationship Id="rId33" Type="http://schemas.openxmlformats.org/officeDocument/2006/relationships/hyperlink" Target="http://www.zakonprost.ru/zakony/2872-1-ot-1992-05-29-o-zaloge/statja-3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zakonprost.ru/zakony/2872-1-ot-1992-05-29-o-zaloge/statja-13" TargetMode="External"/><Relationship Id="rId20" Type="http://schemas.openxmlformats.org/officeDocument/2006/relationships/hyperlink" Target="http://www.zakonprost.ru/zakony/2872-1-ot-1992-05-29-o-zaloge/statja-17" TargetMode="External"/><Relationship Id="rId29" Type="http://schemas.openxmlformats.org/officeDocument/2006/relationships/hyperlink" Target="http://www.zakonprost.ru/zakony/2872-1-ot-1992-05-29-o-zaloge/statja-2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prost.ru/zakony/2872-1-ot-1992-05-29-o-zaloge/statja-3" TargetMode="External"/><Relationship Id="rId11" Type="http://schemas.openxmlformats.org/officeDocument/2006/relationships/hyperlink" Target="http://www.zakonprost.ru/zakony/2872-1-ot-1992-05-29-o-zaloge/statja-8" TargetMode="External"/><Relationship Id="rId24" Type="http://schemas.openxmlformats.org/officeDocument/2006/relationships/hyperlink" Target="http://www.zakonprost.ru/zakony/2872-1-ot-1992-05-29-o-zaloge/statja-21" TargetMode="External"/><Relationship Id="rId32" Type="http://schemas.openxmlformats.org/officeDocument/2006/relationships/hyperlink" Target="http://www.zakonprost.ru/zakony/2872-1-ot-1992-05-29-o-zaloge/statja-29" TargetMode="External"/><Relationship Id="rId37" Type="http://schemas.openxmlformats.org/officeDocument/2006/relationships/hyperlink" Target="http://www.zakonprost.ru/zakony/2872-1-ot-1992-05-29-o-zaloge/statja-34" TargetMode="External"/><Relationship Id="rId5" Type="http://schemas.openxmlformats.org/officeDocument/2006/relationships/hyperlink" Target="http://www.zakonprost.ru/zakony/2872-1-ot-1992-05-29-o-zaloge/statja-2" TargetMode="External"/><Relationship Id="rId15" Type="http://schemas.openxmlformats.org/officeDocument/2006/relationships/hyperlink" Target="http://www.zakonprost.ru/zakony/2872-1-ot-1992-05-29-o-zaloge/statja-12" TargetMode="External"/><Relationship Id="rId23" Type="http://schemas.openxmlformats.org/officeDocument/2006/relationships/hyperlink" Target="http://www.zakonprost.ru/zakony/2872-1-ot-1992-05-29-o-zaloge/statja-20" TargetMode="External"/><Relationship Id="rId28" Type="http://schemas.openxmlformats.org/officeDocument/2006/relationships/hyperlink" Target="http://www.zakonprost.ru/zakony/2872-1-ot-1992-05-29-o-zaloge/statja-25" TargetMode="External"/><Relationship Id="rId36" Type="http://schemas.openxmlformats.org/officeDocument/2006/relationships/hyperlink" Target="http://www.zakonprost.ru/zakony/2872-1-ot-1992-05-29-o-zaloge/statja-33" TargetMode="External"/><Relationship Id="rId10" Type="http://schemas.openxmlformats.org/officeDocument/2006/relationships/hyperlink" Target="http://www.zakonprost.ru/zakony/2872-1-ot-1992-05-29-o-zaloge/statja-7" TargetMode="External"/><Relationship Id="rId19" Type="http://schemas.openxmlformats.org/officeDocument/2006/relationships/hyperlink" Target="http://www.zakonprost.ru/zakony/2872-1-ot-1992-05-29-o-zaloge/statja-16" TargetMode="External"/><Relationship Id="rId31" Type="http://schemas.openxmlformats.org/officeDocument/2006/relationships/hyperlink" Target="http://www.zakonprost.ru/zakony/2872-1-ot-1992-05-29-o-zaloge/statja-28" TargetMode="External"/><Relationship Id="rId4" Type="http://schemas.openxmlformats.org/officeDocument/2006/relationships/hyperlink" Target="http://www.zakonprost.ru/zakony/2872-1-ot-1992-05-29-o-zaloge/statja-1" TargetMode="External"/><Relationship Id="rId9" Type="http://schemas.openxmlformats.org/officeDocument/2006/relationships/hyperlink" Target="http://www.zakonprost.ru/zakony/2872-1-ot-1992-05-29-o-zaloge/statja-6" TargetMode="External"/><Relationship Id="rId14" Type="http://schemas.openxmlformats.org/officeDocument/2006/relationships/hyperlink" Target="http://www.zakonprost.ru/zakony/2872-1-ot-1992-05-29-o-zaloge/statja-11" TargetMode="External"/><Relationship Id="rId22" Type="http://schemas.openxmlformats.org/officeDocument/2006/relationships/hyperlink" Target="http://www.zakonprost.ru/zakony/2872-1-ot-1992-05-29-o-zaloge/statja-19" TargetMode="External"/><Relationship Id="rId27" Type="http://schemas.openxmlformats.org/officeDocument/2006/relationships/hyperlink" Target="http://www.zakonprost.ru/zakony/2872-1-ot-1992-05-29-o-zaloge/statja-24" TargetMode="External"/><Relationship Id="rId30" Type="http://schemas.openxmlformats.org/officeDocument/2006/relationships/hyperlink" Target="http://www.zakonprost.ru/zakony/2872-1-ot-1992-05-29-o-zaloge/statja-27" TargetMode="External"/><Relationship Id="rId35" Type="http://schemas.openxmlformats.org/officeDocument/2006/relationships/hyperlink" Target="http://www.zakonprost.ru/zakony/2872-1-ot-1992-05-29-o-zaloge/statja-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2863</Words>
  <Characters>16323</Characters>
  <Application>Microsoft Office Word</Application>
  <DocSecurity>0</DocSecurity>
  <Lines>136</Lines>
  <Paragraphs>38</Paragraphs>
  <ScaleCrop>false</ScaleCrop>
  <Company>Melkosoft</Company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2016-06-18T14:40:00Z</dcterms:created>
  <dcterms:modified xsi:type="dcterms:W3CDTF">2016-06-18T14:40:00Z</dcterms:modified>
</cp:coreProperties>
</file>